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行民主体交叉侵权损害赔偿司法问题研究</w:t>
      </w: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——以侵害人身权为视角的延望</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ind w:firstLine="560"/>
        <w:jc w:val="center"/>
        <w:rPr>
          <w:rFonts w:ascii="宋体" w:hAnsi="宋体" w:cs="宋体"/>
          <w:sz w:val="28"/>
          <w:szCs w:val="28"/>
        </w:rPr>
      </w:pPr>
      <w:r>
        <w:rPr>
          <w:rFonts w:hint="eastAsia" w:ascii="宋体" w:hAnsi="宋体" w:cs="宋体"/>
          <w:sz w:val="28"/>
          <w:szCs w:val="28"/>
          <w:lang w:eastAsia="zh-CN"/>
        </w:rPr>
        <w:t>重庆市丰都县</w:t>
      </w:r>
      <w:r>
        <w:rPr>
          <w:rFonts w:hint="eastAsia" w:ascii="宋体" w:hAnsi="宋体" w:cs="宋体"/>
          <w:sz w:val="28"/>
          <w:szCs w:val="28"/>
        </w:rPr>
        <w:t>人民法院</w:t>
      </w:r>
      <w:r>
        <w:rPr>
          <w:rFonts w:ascii="宋体" w:hAnsi="宋体" w:cs="宋体"/>
          <w:sz w:val="28"/>
          <w:szCs w:val="28"/>
        </w:rPr>
        <w:t xml:space="preserve">   </w:t>
      </w:r>
      <w:r>
        <w:rPr>
          <w:rFonts w:hint="eastAsia" w:ascii="宋体" w:hAnsi="宋体" w:cs="宋体"/>
          <w:sz w:val="28"/>
          <w:szCs w:val="28"/>
          <w:lang w:eastAsia="zh-CN"/>
        </w:rPr>
        <w:t>余孝安</w:t>
      </w:r>
    </w:p>
    <w:p>
      <w:pPr>
        <w:ind w:firstLine="560"/>
        <w:jc w:val="center"/>
        <w:rPr>
          <w:rFonts w:ascii="宋体"/>
        </w:rPr>
      </w:pPr>
      <w:r>
        <w:rPr>
          <w:rFonts w:hint="eastAsia" w:ascii="宋体" w:hAnsi="宋体" w:cs="宋体"/>
          <w:sz w:val="28"/>
          <w:szCs w:val="28"/>
        </w:rPr>
        <w:t>二○</w:t>
      </w:r>
      <w:r>
        <w:rPr>
          <w:rFonts w:hint="eastAsia" w:ascii="宋体" w:hAnsi="宋体" w:cs="宋体"/>
          <w:sz w:val="28"/>
          <w:szCs w:val="28"/>
          <w:lang w:eastAsia="zh-CN"/>
        </w:rPr>
        <w:t>二一</w:t>
      </w:r>
      <w:r>
        <w:rPr>
          <w:rFonts w:hint="eastAsia" w:ascii="宋体" w:hAnsi="宋体" w:cs="宋体"/>
          <w:sz w:val="28"/>
          <w:szCs w:val="28"/>
        </w:rPr>
        <w:t>年</w:t>
      </w:r>
      <w:r>
        <w:rPr>
          <w:rFonts w:hint="eastAsia" w:ascii="宋体" w:hAnsi="宋体" w:cs="宋体"/>
          <w:sz w:val="28"/>
          <w:szCs w:val="28"/>
          <w:lang w:eastAsia="zh-CN"/>
        </w:rPr>
        <w:t>七</w:t>
      </w:r>
      <w:r>
        <w:rPr>
          <w:rFonts w:hint="eastAsia" w:ascii="宋体" w:hAnsi="宋体" w:cs="宋体"/>
          <w:sz w:val="28"/>
          <w:szCs w:val="28"/>
        </w:rPr>
        <w:t>月</w:t>
      </w:r>
      <w:r>
        <w:rPr>
          <w:rFonts w:hint="eastAsia" w:ascii="宋体" w:hAnsi="宋体" w:cs="宋体"/>
          <w:sz w:val="28"/>
          <w:szCs w:val="28"/>
          <w:lang w:eastAsia="zh-CN"/>
        </w:rPr>
        <w:t>五</w:t>
      </w:r>
      <w:r>
        <w:rPr>
          <w:rFonts w:hint="eastAsia" w:ascii="宋体" w:hAnsi="宋体" w:cs="宋体"/>
          <w:sz w:val="28"/>
          <w:szCs w:val="28"/>
        </w:rPr>
        <w:t>日</w:t>
      </w:r>
    </w:p>
    <w:p>
      <w:pPr>
        <w:rPr>
          <w:rFonts w:eastAsia="黑体"/>
          <w:sz w:val="28"/>
          <w:szCs w:val="28"/>
        </w:rPr>
      </w:pPr>
    </w:p>
    <w:p>
      <w:pPr>
        <w:rPr>
          <w:rFonts w:eastAsia="黑体"/>
          <w:sz w:val="28"/>
          <w:szCs w:val="28"/>
        </w:rPr>
      </w:pPr>
    </w:p>
    <w:p>
      <w:pPr>
        <w:rPr>
          <w:rFonts w:eastAsia="黑体"/>
          <w:sz w:val="28"/>
          <w:szCs w:val="28"/>
        </w:rPr>
      </w:pPr>
    </w:p>
    <w:p>
      <w:pPr>
        <w:rPr>
          <w:rFonts w:hint="eastAsia" w:cs="宋体"/>
          <w:b/>
          <w:bCs/>
          <w:sz w:val="28"/>
          <w:szCs w:val="28"/>
        </w:rPr>
      </w:pPr>
    </w:p>
    <w:p>
      <w:pPr>
        <w:rPr>
          <w:rFonts w:hint="eastAsia" w:cs="宋体"/>
          <w:b/>
          <w:bCs/>
          <w:sz w:val="28"/>
          <w:szCs w:val="28"/>
        </w:rPr>
      </w:pPr>
    </w:p>
    <w:p>
      <w:pPr>
        <w:rPr>
          <w:rFonts w:hint="eastAsia" w:cs="宋体"/>
          <w:b/>
          <w:bCs/>
          <w:sz w:val="28"/>
          <w:szCs w:val="28"/>
        </w:rPr>
      </w:pPr>
    </w:p>
    <w:p>
      <w:pPr>
        <w:ind w:firstLine="1968" w:firstLineChars="700"/>
        <w:rPr>
          <w:b/>
          <w:bCs/>
          <w:sz w:val="28"/>
          <w:szCs w:val="28"/>
        </w:rPr>
      </w:pPr>
      <w:r>
        <w:rPr>
          <w:rFonts w:hint="eastAsia" w:cs="宋体"/>
          <w:b/>
          <w:bCs/>
          <w:sz w:val="28"/>
          <w:szCs w:val="28"/>
        </w:rPr>
        <w:t>作者简介：</w:t>
      </w:r>
      <w:r>
        <w:rPr>
          <w:b/>
          <w:bCs/>
          <w:sz w:val="28"/>
          <w:szCs w:val="28"/>
        </w:rPr>
        <w:t xml:space="preserve"> </w:t>
      </w:r>
    </w:p>
    <w:p/>
    <w:p>
      <w:pPr>
        <w:rPr>
          <w:sz w:val="28"/>
          <w:szCs w:val="28"/>
        </w:rPr>
      </w:pPr>
      <w:r>
        <w:rPr>
          <w:rFonts w:hint="eastAsia"/>
          <w:sz w:val="28"/>
          <w:szCs w:val="28"/>
          <w:lang w:val="en-US" w:eastAsia="zh-CN"/>
        </w:rPr>
        <w:t xml:space="preserve">  余孝安 重庆市丰都县法院民一庭 员额制四高法官  法律硕士 研究方向 法理学 司法制度 应用法学 在《澳门法学》《人民法院案例选》《司法改革论评》《中国审判》《民事法律文件解读》等有论文、案例分析发表，获得过多次中国法学会青年论优秀论文坛奖，中国审判理论研究会年会优秀论文奖。邮政编码408200 联系电话13372770237 电子邮箱yxa650823@163.com</w:t>
      </w:r>
    </w:p>
    <w:p>
      <w:pPr>
        <w:jc w:val="center"/>
        <w:rPr>
          <w:rFonts w:ascii="黑体" w:eastAsia="黑体"/>
          <w:sz w:val="28"/>
          <w:szCs w:val="28"/>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eastAsia="黑体"/>
          <w:sz w:val="28"/>
          <w:szCs w:val="28"/>
        </w:rPr>
      </w:pPr>
      <w:r>
        <w:rPr>
          <w:rFonts w:hint="eastAsia" w:eastAsia="黑体" w:cs="黑体"/>
          <w:sz w:val="28"/>
          <w:szCs w:val="28"/>
        </w:rPr>
        <w:t>论文独创性声明</w:t>
      </w:r>
    </w:p>
    <w:p>
      <w:pPr>
        <w:jc w:val="center"/>
        <w:rPr>
          <w:rFonts w:ascii="楷体_GB2312" w:eastAsia="楷体_GB2312"/>
          <w:sz w:val="28"/>
          <w:szCs w:val="28"/>
        </w:rPr>
      </w:pPr>
    </w:p>
    <w:p>
      <w:pPr>
        <w:ind w:firstLine="560" w:firstLineChars="200"/>
        <w:rPr>
          <w:rFonts w:ascii="宋体"/>
          <w:sz w:val="28"/>
          <w:szCs w:val="28"/>
        </w:rPr>
      </w:pPr>
      <w:r>
        <w:rPr>
          <w:rFonts w:hint="eastAsia" w:ascii="宋体" w:hAnsi="宋体" w:cs="宋体"/>
          <w:sz w:val="28"/>
          <w:szCs w:val="28"/>
        </w:rPr>
        <w:t>本人郑重声明：所呈交的论文是我个人进行研究工作及取得的研究成果。尽我所知，除了文中特别加以标注和致谢的地方外，论文中不包含其他人已经发表或撰写的研究成果，特此声明。</w:t>
      </w:r>
    </w:p>
    <w:p>
      <w:pPr>
        <w:tabs>
          <w:tab w:val="left" w:pos="5940"/>
        </w:tabs>
        <w:ind w:firstLine="1960" w:firstLineChars="700"/>
        <w:rPr>
          <w:rFonts w:ascii="宋体"/>
          <w:sz w:val="28"/>
          <w:szCs w:val="28"/>
        </w:rPr>
      </w:pPr>
    </w:p>
    <w:p>
      <w:pPr>
        <w:tabs>
          <w:tab w:val="left" w:pos="5940"/>
        </w:tabs>
        <w:ind w:firstLine="1960" w:firstLineChars="700"/>
        <w:rPr>
          <w:rFonts w:ascii="宋体"/>
          <w:sz w:val="28"/>
          <w:szCs w:val="28"/>
        </w:rPr>
      </w:pPr>
    </w:p>
    <w:p>
      <w:pPr>
        <w:tabs>
          <w:tab w:val="left" w:pos="5940"/>
        </w:tabs>
        <w:ind w:firstLine="1470" w:firstLineChars="700"/>
        <w:rPr>
          <w:rFonts w:ascii="宋体"/>
          <w:sz w:val="28"/>
          <w:szCs w:val="28"/>
        </w:rPr>
      </w:pPr>
      <w:r>
        <mc:AlternateContent>
          <mc:Choice Requires="wps">
            <w:drawing>
              <wp:anchor distT="0" distB="0" distL="114300" distR="114300" simplePos="0" relativeHeight="251662336" behindDoc="0" locked="0" layoutInCell="1" allowOverlap="1">
                <wp:simplePos x="0" y="0"/>
                <wp:positionH relativeFrom="column">
                  <wp:posOffset>5143500</wp:posOffset>
                </wp:positionH>
                <wp:positionV relativeFrom="paragraph">
                  <wp:posOffset>247650</wp:posOffset>
                </wp:positionV>
                <wp:extent cx="635" cy="0"/>
                <wp:effectExtent l="0" t="0" r="0" b="0"/>
                <wp:wrapNone/>
                <wp:docPr id="2"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05pt;margin-top:19.5pt;height:0pt;width:0.05pt;z-index:251662336;mso-width-relative:page;mso-height-relative:page;" filled="f" stroked="t" coordsize="21600,21600" o:gfxdata="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1Mtb9YAAAAJAQAADwAAAAAAAAABACAAAAAiAAAAZHJzL2Rv&#10;d25yZXYueG1sUEsBAhQAFAAAAAgAh07iQELZxPPKAQAAiQMAAA4AAAAAAAAAAQAgAAAAJQEAAGRy&#10;cy9lMm9Eb2MueG1sUEsFBgAAAAAGAAYAWQEAAGEFAAAAAA==&#10;">
                <v:fill on="f" focussize="0,0"/>
                <v:stroke color="#000000" joinstyle="round"/>
                <v:imagedata o:title=""/>
                <o:lock v:ext="edit" aspectratio="f"/>
              </v:line>
            </w:pict>
          </mc:Fallback>
        </mc:AlternateContent>
      </w:r>
      <w:r>
        <w:rPr>
          <w:rFonts w:hint="eastAsia" w:ascii="宋体" w:hAnsi="宋体" w:cs="宋体"/>
          <w:sz w:val="28"/>
          <w:szCs w:val="28"/>
        </w:rPr>
        <w:t>作者签名：</w:t>
      </w:r>
      <w:r>
        <w:rPr>
          <w:rFonts w:ascii="宋体" w:hAnsi="宋体" w:cs="宋体"/>
          <w:sz w:val="28"/>
          <w:szCs w:val="28"/>
        </w:rPr>
        <w:t xml:space="preserve">              </w:t>
      </w:r>
      <w:r>
        <w:rPr>
          <w:rFonts w:hint="eastAsia" w:ascii="宋体" w:hAnsi="宋体" w:cs="宋体"/>
          <w:sz w:val="28"/>
          <w:szCs w:val="28"/>
        </w:rPr>
        <w:t>日期：</w:t>
      </w: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ascii="黑体" w:hAnsi="黑体" w:eastAsia="黑体" w:cs="黑体"/>
          <w:sz w:val="32"/>
          <w:szCs w:val="32"/>
          <w:lang w:val="en-US" w:eastAsia="zh-CN"/>
        </w:rPr>
      </w:pPr>
      <w:r>
        <w:rPr>
          <w:rFonts w:hint="eastAsia" w:eastAsia="黑体"/>
          <w:sz w:val="28"/>
          <w:szCs w:val="28"/>
          <w:bdr w:val="single" w:color="auto" w:sz="4" w:space="0"/>
        </w:rPr>
        <w:t>编号：</w:t>
      </w:r>
      <w:r>
        <w:rPr>
          <w:rFonts w:eastAsia="黑体"/>
          <w:sz w:val="28"/>
          <w:szCs w:val="28"/>
          <w:bdr w:val="single" w:color="auto" w:sz="4" w:space="0"/>
        </w:rPr>
        <w:t xml:space="preserve"> </w:t>
      </w: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行民主体交叉侵权损害赔偿司法问题研究</w:t>
      </w: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——以侵害人身权为视角的延望</w:t>
      </w:r>
    </w:p>
    <w:p>
      <w:pPr>
        <w:ind w:firstLine="2640" w:firstLineChars="600"/>
        <w:rPr>
          <w:rFonts w:hint="eastAsia" w:ascii="黑体" w:hAnsi="黑体" w:eastAsia="黑体" w:cs="黑体"/>
          <w:sz w:val="44"/>
          <w:szCs w:val="44"/>
          <w:lang w:val="en-US" w:eastAsia="zh-CN"/>
        </w:rPr>
      </w:pPr>
    </w:p>
    <w:p>
      <w:pPr>
        <w:ind w:firstLine="840" w:firstLineChars="300"/>
        <w:rPr>
          <w:rFonts w:hint="eastAsia" w:ascii="宋体" w:hAnsi="宋体" w:eastAsia="宋体" w:cs="宋体"/>
          <w:sz w:val="28"/>
          <w:szCs w:val="28"/>
          <w:lang w:val="en-US" w:eastAsia="zh-CN"/>
        </w:rPr>
      </w:pPr>
    </w:p>
    <w:p>
      <w:pPr>
        <w:numPr>
          <w:ilvl w:val="0"/>
          <w:numId w:val="0"/>
        </w:numPr>
        <w:ind w:firstLine="560" w:firstLineChars="200"/>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内容提要</w:t>
      </w:r>
      <w:r>
        <w:rPr>
          <w:rFonts w:hint="eastAsia" w:ascii="黑体" w:hAnsi="黑体" w:eastAsia="黑体" w:cs="黑体"/>
          <w:sz w:val="32"/>
          <w:szCs w:val="32"/>
          <w:lang w:val="en-US" w:eastAsia="zh-CN"/>
        </w:rPr>
        <w:t>：</w:t>
      </w:r>
      <w:r>
        <w:rPr>
          <w:rFonts w:hint="eastAsia" w:ascii="黑体" w:hAnsi="黑体" w:eastAsia="黑体" w:cs="黑体"/>
          <w:sz w:val="28"/>
          <w:szCs w:val="28"/>
          <w:lang w:val="en-US" w:eastAsia="zh-CN"/>
        </w:rPr>
        <w:t>行民主体交叉侵权案件如何裁判在</w:t>
      </w:r>
      <w:r>
        <w:rPr>
          <w:rFonts w:hint="eastAsia" w:ascii="宋体" w:hAnsi="宋体" w:eastAsia="宋体" w:cs="宋体"/>
          <w:sz w:val="28"/>
          <w:szCs w:val="28"/>
          <w:lang w:val="en-US" w:eastAsia="zh-CN"/>
        </w:rPr>
        <w:t>《国家赔偿法（行政赔偿部分）》、《民法典（侵权责任编）》没有明确的规则可以适用，如何解决这类案件的赔偿问题，各地做法不一，有的分开裁判，有的附带审理，结果是裁判冲突，裁判不统一经常发生。或将部分案件拒之门外。笔者认为解决这个问题的方法是将行民交叉侵权，根据因果关系理论，分为</w:t>
      </w:r>
      <w:r>
        <w:rPr>
          <w:rFonts w:hint="eastAsia" w:ascii="宋体" w:hAnsi="宋体" w:eastAsia="宋体" w:cs="宋体"/>
          <w:color w:val="auto"/>
          <w:sz w:val="28"/>
          <w:szCs w:val="28"/>
          <w:lang w:val="en-US" w:eastAsia="zh-CN"/>
        </w:rPr>
        <w:t>共同因果关系</w:t>
      </w:r>
      <w:r>
        <w:rPr>
          <w:rFonts w:hint="eastAsia" w:ascii="宋体" w:hAnsi="宋体" w:eastAsia="宋体" w:cs="宋体"/>
          <w:sz w:val="28"/>
          <w:szCs w:val="28"/>
          <w:lang w:val="en-US" w:eastAsia="zh-CN"/>
        </w:rPr>
        <w:t>、竞合因果关系、累积因果关系、修补因果关系、择一因果关系和假设因果关系，再根据因果关系分为不同类型的介入交叉型、假想型交叉、参与型交叉，并依据分类确定审判方法。在确定审判方法时以行民合并的方法为主。在法律适用上，程序上适用必要共同诉讼的规则，实体上根据因果关系确定责任形态，统一划分行民主体内部份额责任，最后进行裁判。（全文9800字）</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主要创新观点：行民主体交叉侵权是多年来司法未解决的疑难问题，本文通过比较研究，类推适用方法解决这个问题。具体解决方案是：借鉴民法的因果关系理论，将行民侵权因果关系分为</w:t>
      </w:r>
      <w:r>
        <w:rPr>
          <w:rFonts w:hint="eastAsia" w:ascii="宋体" w:hAnsi="宋体" w:eastAsia="宋体" w:cs="宋体"/>
          <w:color w:val="auto"/>
          <w:sz w:val="28"/>
          <w:szCs w:val="28"/>
          <w:lang w:val="en-US" w:eastAsia="zh-CN"/>
        </w:rPr>
        <w:t>共同因果关系</w:t>
      </w:r>
      <w:r>
        <w:rPr>
          <w:rFonts w:hint="eastAsia" w:ascii="宋体" w:hAnsi="宋体" w:eastAsia="宋体" w:cs="宋体"/>
          <w:sz w:val="28"/>
          <w:szCs w:val="28"/>
          <w:lang w:val="en-US" w:eastAsia="zh-CN"/>
        </w:rPr>
        <w:t>、竞合因果关系、累积因果关系、修补因果关系、择一因果关系和假设因果关系，再根据因果关系分为不同类型的介入交叉型、假想型交叉、参与型交叉，并依据分类确定审判方法。在确定审判方法时以行民合并的方法为主。在程序上适用必要共同诉讼的规则，实体上根据因果关系确定责任形态，统一划分行民主体内部份额责任，最后进行裁判。</w:t>
      </w:r>
    </w:p>
    <w:p>
      <w:pPr>
        <w:ind w:firstLine="1280" w:firstLineChars="400"/>
        <w:rPr>
          <w:rFonts w:hint="eastAsia" w:ascii="黑体" w:hAnsi="黑体" w:eastAsia="黑体" w:cs="黑体"/>
          <w:sz w:val="32"/>
          <w:szCs w:val="32"/>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引  言</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损害的发生并非都是单一的原因，侵权人也往往是多个，多个主体侵权也非都在平等主体之间发生，行政主体与民事主体行为在殊途同往的道路上交叉而行，一旦野蛮生长，侵权损害油然而生。本是有损害，必有救济。然现实是，《国家赔偿法（行政赔偿部分）》、《民法典（侵权责任编）》法律拟制皆“各自为政”，都以自己拟制的行政单一和民事单一主体侵权形式进行规范，导致该类案件的裁判无法可依，可遇到案件的法官，又不能拒绝裁判，由此导致裁判不一，甚至大相径庭的司法现象不断发生。笔者认为解决这个问题的关键是，对不同交叉侵权进行因果关系分类，根据不同因果关系的特点，从《民事诉讼法》及《行政诉讼法》的理论结合点寻找裁判的突破方向，从而构建规范的司法方法，以此破解这个司法难题。</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二、历史与现实：未破解的司法疑难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行民主体交叉侵权案件比较复杂多变，但在复杂的情形下，仍然可以归纳出以下几种类型。</w:t>
      </w:r>
    </w:p>
    <w:p>
      <w:pPr>
        <w:numPr>
          <w:ilvl w:val="0"/>
          <w:numId w:val="0"/>
        </w:numPr>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sz w:val="28"/>
          <w:szCs w:val="28"/>
          <w:lang w:val="en-US" w:eastAsia="zh-CN"/>
        </w:rPr>
        <w:t>（一）介入交叉型。所谓介入型交叉，是指民事主体之间发生侵权损害，侵权人的行为不仅是民事侵权行为，需要承担民事责任；同时也是行政违法行为，还需要承担行政责任。行政机关在处罚相对人时，不仅施加行政处罚，</w:t>
      </w:r>
      <w:r>
        <w:rPr>
          <w:rFonts w:hint="eastAsia" w:ascii="宋体" w:hAnsi="宋体" w:eastAsia="宋体" w:cs="宋体"/>
          <w:color w:val="auto"/>
          <w:sz w:val="28"/>
          <w:szCs w:val="28"/>
          <w:lang w:val="en-US" w:eastAsia="zh-CN"/>
        </w:rPr>
        <w:t>而且决定民事赔偿事项。</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例证：1990年6月29日，刘某1（3岁）因患感冒，其父刘某2送刘某1到王某处就诊，王某用安乃近等药物注射，因药物配伍及注射不当致刘某1左下肢肌肉萎缩。经大连市医疗事故鉴定委员会鉴定为三级甲等医疗事故。大连市金州区卫生局作出处理决定，王某给付刘某1一次性补偿费2000元；鉴定费150元由王某负担；刘某1医疗事故增加的医疗费816.11元由王某负担。刘某1不服处理决定诉至大连市金州区人民法院，请求给予王某行政处罚，吊销其营业执照；王某除已决定赔偿的费用外再赔偿刘某2的交通费及误工费。该法院判决，维持第一、二项；变更第三项为，赔偿刘某1医疗费816.11元、交通费255.2元、刘某2误工费1091.44元；驳回刘某1其余诉讼请求。大连市金州区卫生局不服一审判决，上诉至二审法院。大连市中级人民法院于1992年1月28日作出终审判决，驳回上诉，维持</w:t>
      </w:r>
      <w:r>
        <w:rPr>
          <w:rStyle w:val="9"/>
          <w:rFonts w:hint="eastAsia" w:ascii="宋体" w:hAnsi="宋体" w:eastAsia="宋体" w:cs="宋体"/>
          <w:sz w:val="28"/>
          <w:szCs w:val="28"/>
          <w:lang w:val="en-US" w:eastAsia="zh-CN"/>
        </w:rPr>
        <w:footnoteReference w:id="0" w:customMarkFollows="1"/>
        <w:t>（1）</w:t>
      </w:r>
      <w:r>
        <w:rPr>
          <w:rFonts w:hint="eastAsia" w:ascii="宋体" w:hAnsi="宋体" w:eastAsia="宋体" w:cs="宋体"/>
          <w:sz w:val="28"/>
          <w:szCs w:val="28"/>
          <w:lang w:val="en-US" w:eastAsia="zh-CN"/>
        </w:rPr>
        <w:t>原判（以下简称A案）</w:t>
      </w:r>
      <w:r>
        <w:rPr>
          <w:rStyle w:val="9"/>
          <w:rFonts w:hint="eastAsia" w:ascii="宋体" w:hAnsi="宋体" w:eastAsia="宋体" w:cs="宋体"/>
          <w:sz w:val="28"/>
          <w:szCs w:val="28"/>
          <w:lang w:val="en-US" w:eastAsia="zh-CN"/>
        </w:rPr>
        <w:footnoteReference w:id="1" w:customMarkFollows="1"/>
        <w:t>（1）</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引发的问题：1.行政机关对民事部分裁决的“准司法裁判”法律依据是什么呢？赔偿的事项是适用民事规范或其他规范呢？2.法院对民事赔偿部分的审理是严格根据民事诉讼法及民事实体法规范裁判，还是仅依据公平原则，变更行政不当决定呢？3.行政与民事交叉时是诉的合并还是行政附带民事之诉呢？</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假想型交叉：2019年9月6日17时50分许，郎鸿驾驶自己的摩托车从丰都县武平镇抓壁岩往丰都县武平镇石马河桥方向行驶，当车行驶至丰都县省道406线25km+300m处（小地名，石马河）超车时，因操作不当致渝DU3020号摩托车与道路外左侧边上的电线杆相撞后摔倒滑行至道路右侧车道，造成郎鸿受伤。郎鸿受伤后于2019年9月6日入住重庆长城医院治疗，同年同月27日出院，出院诊断为，左髌骨粉碎性骨折等，出院医嘱为，术后1-2天换药1次，21天行伤口折线等，郎鸿共计支付治疗费53001.48元，交通费166元。事故经重庆市丰都县公安局交通巡逻警察大队认定，系“弯道……”超车所致，郎鸿在此次事故中为全部过错，应负事故的全部责任。郎鸿向丰都县法院提起民事诉讼，请求：判令被告移动丰都分公司、丰都县交通行政执法支队赔偿医疗费、残疾赔偿金、误工费、护理费、被扶养人生活费等共计44008.07元，诉讼费的20%由二被告负担。一审法院审理认为，郎鸿的损失系自己不尽注意义务造成，与移动丰都分公司、丰都县交通行政执法支队的管理没有因果关系，判决驳回了郎鸿的诉讼请求。郎鸿不服提出上诉，二审法院认为，一审法院认定事实及适用法律正确，判决驳回上诉，维持原判（以下简称B案）。</w:t>
      </w:r>
      <w:r>
        <w:rPr>
          <w:rStyle w:val="9"/>
          <w:rFonts w:hint="eastAsia" w:ascii="宋体" w:hAnsi="宋体" w:eastAsia="宋体" w:cs="宋体"/>
          <w:sz w:val="28"/>
          <w:szCs w:val="28"/>
          <w:lang w:val="en-US" w:eastAsia="zh-CN"/>
        </w:rPr>
        <w:footnoteReference w:id="2" w:customMarkFollows="1"/>
        <w:t>（2）</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引发的法律问题：当事人假想行政机关不作为行为构成侵权，事实上不构成侵权，民事诉讼是否需要中止诉讼，待行政诉讼确认行政行为是否违法后才能继续进行民事诉讼审理呢？</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参与型交叉：2002年5月7日零时50分许，杜某在昆明市下马村农贸市场被两男人殴打，官渡区公安局接到报警后派民警赶到现场，发现其受伤即联系急救中心救助。经到达的救助医生初步诊断为轻度酒精中毒，软组织损伤，救助医生认为无生命危险离开现场。民警将杜某拉到当地派出所。杜某之妻发现丈夫一夜未归，当日9时许到该派出所报案，发现杜某躺在派出所天花台旁，处于昏迷状态，即打120电话，救助医生检查发现，脑挫裂伤，脑出血，立即送往云南省红十字会医院抢救。2002年5月12日，杜某经抢救无效死亡。经法医尸检，结论为体表软组织损伤及颅脑损伤为钝器性暴力多次打击所致；死因为，颅脑严重损伤致呼吸、循环衰竭死亡。昆明市中级人民法院审理认为，官渡区公安局未完全履行法定职责属违法行政行为，并且与杜某的死亡有部分因果关系，依法应承担相应的行政赔偿责任，判决其承担20%的赔偿责任（以下简称C案）。</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引发的问题：本案属于多个原因导致的损害，就责任主体而言，有多个民事侵权主体与一个行政侵权主体。但是法院在裁判时将行政责任主体分离出来，直接判决。结果是受害人的损失未获得完全赔偿。这样处理明显存在诸多问题也会引发诸多制度及法理追问，行民交叉人身损害赔偿在程序上应当怎样推进呢？实体上的赔偿标准到底适用什么法律呢？值得深层次的研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参与型交叉，根据因果关系的类型，还可以再分为共同的因果关系型、修补的因果关系型、竞合的因果关系型、择一的因果关系型、假设的因果关系型等。</w:t>
      </w:r>
      <w:r>
        <w:rPr>
          <w:rStyle w:val="9"/>
          <w:rFonts w:hint="eastAsia" w:ascii="宋体" w:hAnsi="宋体" w:eastAsia="宋体" w:cs="宋体"/>
          <w:sz w:val="28"/>
          <w:szCs w:val="28"/>
          <w:lang w:val="en-US" w:eastAsia="zh-CN"/>
        </w:rPr>
        <w:footnoteReference w:id="3" w:customMarkFollows="1"/>
        <w:t>（3）</w:t>
      </w:r>
      <w:r>
        <w:rPr>
          <w:rFonts w:hint="eastAsia" w:ascii="宋体" w:hAnsi="宋体" w:eastAsia="宋体" w:cs="宋体"/>
          <w:sz w:val="28"/>
          <w:szCs w:val="28"/>
          <w:lang w:val="en-US" w:eastAsia="zh-CN"/>
        </w:rPr>
        <w:t>不同因果关系产生的责任是不同的，有连带责任；按份责任；不真正连带责任等。</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鉴于目前在行民交叉侵权方面的理论滞后。如姜明安教授在论及“行政附带民事诉讼”时只是将诉讼主体分原告、被告、第三人，如何确定关系没有论及，且认为提起附带民事诉讼是“可以”，是否准许由法院裁定，设置该项仅是效率上考虑等，</w:t>
      </w:r>
      <w:r>
        <w:rPr>
          <w:rStyle w:val="9"/>
          <w:rFonts w:hint="eastAsia" w:ascii="宋体" w:hAnsi="宋体" w:eastAsia="宋体" w:cs="宋体"/>
          <w:sz w:val="28"/>
          <w:szCs w:val="28"/>
          <w:lang w:val="en-US" w:eastAsia="zh-CN"/>
        </w:rPr>
        <w:footnoteReference w:id="4" w:customMarkFollows="1"/>
        <w:t>（4）</w:t>
      </w:r>
      <w:r>
        <w:rPr>
          <w:rFonts w:hint="eastAsia" w:ascii="宋体" w:hAnsi="宋体" w:eastAsia="宋体" w:cs="宋体"/>
          <w:sz w:val="28"/>
          <w:szCs w:val="28"/>
          <w:lang w:val="en-US" w:eastAsia="zh-CN"/>
        </w:rPr>
        <w:t>了了几言未能深入。其他学者也少于论及。同时法律也未规定，才导致目前司法上的裁判不一，未能根本解决相关的行民交叉赔偿问题。因此必须进行深入的研究，以探寻行政侵权与民事侵权交织问题的法律方法。</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二、成因与解剖：法理欠缺，行与民实体与程序闭关自守。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一）《国家赔偿法》与《侵权责任法》对交织地带供给不足。我国《国家赔偿法》系1994年制定，历经2010年、2012年两次修改，虽经修改完善了一些内容，但与侵权责任法比较，仍然存在理论准备，实践需求的不足。</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w:t>
      </w:r>
      <w:r>
        <w:rPr>
          <w:rFonts w:hint="eastAsia" w:ascii="宋体" w:hAnsi="宋体" w:eastAsia="宋体" w:cs="宋体"/>
          <w:color w:val="auto"/>
          <w:sz w:val="28"/>
          <w:szCs w:val="28"/>
          <w:lang w:val="en-US" w:eastAsia="zh-CN"/>
        </w:rPr>
        <w:t>行政赔偿范围过窄。</w:t>
      </w:r>
      <w:r>
        <w:rPr>
          <w:rFonts w:hint="eastAsia" w:ascii="宋体" w:hAnsi="宋体" w:eastAsia="宋体" w:cs="宋体"/>
          <w:sz w:val="28"/>
          <w:szCs w:val="28"/>
          <w:lang w:val="en-US" w:eastAsia="zh-CN"/>
        </w:rPr>
        <w:t>《国家赔偿法》第3条规定了赔偿范围，1至4项从行政侵权行为特点上规定诸多侵权属于赔偿范围，第5项属兜底条款，仅将侵害身体权、生命权的其他行政侵权行为纳入赔偿范围，而将侵犯人格利益这些人格尊严的重要权利排除在外。显然与我国《宪法》要求保护的权利范围相差巨大。相反《侵权责任法》及后纳入法典的《民法典》却显得尤为完善。《民法典》用一编共计23条的篇幅来规定赔偿范围，且还通过一般人格权与具体人格权的互补方法扩张不能预见的权益问题。行政赔偿范围过窄的后果是严重的，不仅导致《宪法》保护的权利部分落空，而且导致与世界发达国家赔偿的落差。如日本行政赔偿是有过错有损害，“行使国家或者公共团体的公权力的公务员，履行其职务，因故意或者过失地给他人带来损害时，国家或者公共团体要承担予以赔偿的责任”</w:t>
      </w:r>
      <w:r>
        <w:rPr>
          <w:rStyle w:val="9"/>
          <w:rFonts w:hint="eastAsia" w:ascii="宋体" w:hAnsi="宋体" w:eastAsia="宋体" w:cs="宋体"/>
          <w:sz w:val="28"/>
          <w:szCs w:val="28"/>
          <w:lang w:val="en-US" w:eastAsia="zh-CN"/>
        </w:rPr>
        <w:footnoteReference w:id="5" w:customMarkFollows="1"/>
        <w:t>（5）</w:t>
      </w:r>
      <w:r>
        <w:rPr>
          <w:rFonts w:hint="eastAsia" w:ascii="宋体" w:hAnsi="宋体" w:eastAsia="宋体" w:cs="宋体"/>
          <w:sz w:val="28"/>
          <w:szCs w:val="28"/>
          <w:lang w:val="en-US" w:eastAsia="zh-CN"/>
        </w:rPr>
        <w:t>。同时导致在行政法的“法律优先”、“法律保留”原则阻却下，行政不理，司法也随之无解。</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行民主体交叉侵权成法律漏洞。《国家赔偿法》有关行政赔偿部分仅对单向的行政主体共同侵权做了连带赔偿规定（第7条第2款、第10条），但对行民主体交织或者交叉侵权产生的责任只字未提。《民法典》在总则（第2条）中开宗明义明确规定，“民法调整平等主体的自然人、法人、非法人组织之间的人身关系和财产关系”。由此可以看出《国家赔偿法》及《民法典》均未关注行民主体交叉侵权的赔偿问题。美国的行政赔偿准用的是民事赔偿制度，“联邦侵权赔偿法第1456节（b）规定，国家的赔偿责任适用政府职员行为或者不行为发生对私人在类似情况下规定责任的法律”</w:t>
      </w:r>
      <w:r>
        <w:rPr>
          <w:rStyle w:val="9"/>
          <w:rFonts w:hint="eastAsia" w:ascii="宋体" w:hAnsi="宋体" w:eastAsia="宋体" w:cs="宋体"/>
          <w:sz w:val="28"/>
          <w:szCs w:val="28"/>
          <w:lang w:val="en-US" w:eastAsia="zh-CN"/>
        </w:rPr>
        <w:footnoteReference w:id="6" w:customMarkFollows="1"/>
        <w:t>（6）</w:t>
      </w:r>
      <w:r>
        <w:rPr>
          <w:rFonts w:hint="eastAsia" w:ascii="宋体" w:hAnsi="宋体" w:eastAsia="宋体" w:cs="宋体"/>
          <w:sz w:val="28"/>
          <w:szCs w:val="28"/>
          <w:lang w:val="en-US" w:eastAsia="zh-CN"/>
        </w:rPr>
        <w:t>，只是在程序上适用行政赔偿程序。</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（二）《行政诉讼法》与《民事诉讼法》对交叉地带互相推诿。</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行政诉讼法》与《民事诉讼法》各唱各的调。《行政诉讼法》第12条通过列举与概括的形式明确自己的受理范围，第十三条对不属于自己管辖范围进行了规定，对行民交叉地带没有规定。《民事诉讼法》第3条明确规定的是“公民。法人……财产关系与人身之间提起民事诉讼……”，对行民交叉的诉讼问题也没有规定。由此两种诉讼制度均没有规定交叉案件受理问题。这样导致的司法问题是推诿不立案，或者部分受理，而无法整体解决纠纷。文中列举的案例就是明证。</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放宽立案进入诉讼的司法处理不一。作为行政诉讼受理的，有的法院仅就行政诉讼部分裁判，民事部分不进行释明，让当事人被民事主体侵权的部分得不到司法救济。作为民事受理的，只就民事部分进行裁判，行政诉讼部分，不予理睬。或者将案件中止，告诉当事人就行政诉讼部分另案起诉，长时间等待行政诉讼结果。结果却是一个案件分割处理，两个判决冲突。有的法院将此类案件纳入行政附带民事诉讼案件处理，但处理时分别按不同的赔偿标准进行赔偿，导致共同侵权案件却按非共同侵权的按分责任裁判。涉及人格利益的侵权，行政赔偿主体却不承担行政或民事责任。</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三）法理供给不足成行民交叉案件裁判疑难的总根源。《国家赔偿法》总则仅有两个条款，一是开宗明义说明该法是《宪法》的子法，二是声明适用于国家机关及其工作人员行使职权产生的侵权，没有规定法律原则的问题，或者说法律渊源问题。《行政诉讼法》虽然在总则中规定了当事人诉讼中法律地位平等、辩论等原则，但是涉及法律渊源的理论问题也未论及。相比较《民法典》与《民事诉讼法》规定的原则及法理问题比较细致，但属封闭性的，仍然回避了行民交叉的法理问题，类推适用等问题。这些问题的出现，直接导致的结果是法官无法通过漏洞填补的法律方法，或者适用法律原则寻找法律依据。相比较，法国最高行政法院通过类推的方法运用民法上的一些标准发展了自己的规则，</w:t>
      </w:r>
      <w:r>
        <w:rPr>
          <w:rStyle w:val="9"/>
          <w:rFonts w:hint="eastAsia" w:ascii="宋体" w:hAnsi="宋体" w:eastAsia="宋体" w:cs="宋体"/>
          <w:sz w:val="28"/>
          <w:szCs w:val="28"/>
          <w:lang w:val="en-US" w:eastAsia="zh-CN"/>
        </w:rPr>
        <w:footnoteReference w:id="7" w:customMarkFollows="1"/>
        <w:t>（7）</w:t>
      </w:r>
      <w:r>
        <w:rPr>
          <w:rFonts w:hint="eastAsia" w:ascii="宋体" w:hAnsi="宋体" w:eastAsia="宋体" w:cs="宋体"/>
          <w:sz w:val="28"/>
          <w:szCs w:val="28"/>
          <w:lang w:val="en-US" w:eastAsia="zh-CN"/>
        </w:rPr>
        <w:t>日本将习惯纳入行政法渊源以填补成文法的不足</w:t>
      </w:r>
      <w:r>
        <w:rPr>
          <w:rStyle w:val="9"/>
          <w:rFonts w:hint="eastAsia" w:ascii="宋体" w:hAnsi="宋体" w:eastAsia="宋体" w:cs="宋体"/>
          <w:sz w:val="28"/>
          <w:szCs w:val="28"/>
          <w:lang w:val="en-US" w:eastAsia="zh-CN"/>
        </w:rPr>
        <w:footnoteReference w:id="8" w:customMarkFollows="1"/>
        <w:t>（8）</w:t>
      </w:r>
      <w:r>
        <w:rPr>
          <w:rFonts w:hint="eastAsia" w:ascii="宋体" w:hAnsi="宋体" w:eastAsia="宋体" w:cs="宋体"/>
          <w:sz w:val="28"/>
          <w:szCs w:val="28"/>
          <w:lang w:val="en-US" w:eastAsia="zh-CN"/>
        </w:rPr>
        <w:t>。</w:t>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三、续造与展望：不同语境的司法方法梳理总结。</w:t>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解决司法中的这些疑难问题，法律实务界与理论界进行了一些法律方法探索，归纳起来主要有这样一些方法：1.分离审判法；2.合并审判法；3.综合审判法。以上每一种方法可细化为程序分离法；实体分离法；程序合并法；</w:t>
      </w:r>
      <w:r>
        <w:rPr>
          <w:rStyle w:val="9"/>
          <w:rFonts w:hint="eastAsia" w:ascii="宋体" w:hAnsi="宋体" w:eastAsia="宋体" w:cs="宋体"/>
          <w:sz w:val="28"/>
          <w:szCs w:val="28"/>
          <w:lang w:val="en-US" w:eastAsia="zh-CN"/>
        </w:rPr>
        <w:footnoteReference w:id="9" w:customMarkFollows="1"/>
        <w:t>（9）</w:t>
      </w:r>
      <w:r>
        <w:rPr>
          <w:rFonts w:hint="eastAsia" w:ascii="宋体" w:hAnsi="宋体" w:eastAsia="宋体" w:cs="宋体"/>
          <w:sz w:val="28"/>
          <w:szCs w:val="28"/>
          <w:lang w:val="en-US" w:eastAsia="zh-CN"/>
        </w:rPr>
        <w:t>实体合并解释论；合议庭组成综合论；</w:t>
      </w:r>
      <w:r>
        <w:rPr>
          <w:rStyle w:val="9"/>
          <w:rFonts w:hint="eastAsia" w:ascii="宋体" w:hAnsi="宋体" w:eastAsia="宋体" w:cs="宋体"/>
          <w:sz w:val="28"/>
          <w:szCs w:val="28"/>
          <w:lang w:val="en-US" w:eastAsia="zh-CN"/>
        </w:rPr>
        <w:footnoteReference w:id="10" w:customMarkFollows="1"/>
        <w:t>（10）</w:t>
      </w:r>
      <w:r>
        <w:rPr>
          <w:rFonts w:hint="eastAsia" w:ascii="宋体" w:hAnsi="宋体" w:eastAsia="宋体" w:cs="宋体"/>
          <w:sz w:val="28"/>
          <w:szCs w:val="28"/>
          <w:lang w:val="en-US" w:eastAsia="zh-CN"/>
        </w:rPr>
        <w:t>裁判事项综合论等。笔者认为这些法律方法上的探索，各有优缺点，但很多方法缺乏前提条件，一旦条件变化，就不能适用，因此必须进行再讨论，才能达到类型化的方法论效果。</w:t>
      </w:r>
    </w:p>
    <w:p>
      <w:pPr>
        <w:numPr>
          <w:ilvl w:val="0"/>
          <w:numId w:val="1"/>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离审判法的弊端及克服。所谓分离审判法是指，行民交叉案件由行政诉讼与民事诉讼分别就行政部分及民事部分进行审理，分开判决的审理裁判方法。这种方法初看，是最契合现有法律规定的。在民事案件中遇到行政争议，先将民事诉讼中止，由法官向当事人释明，后当事人一方就行政争议部分向行政机关或者人民法院申请或者诉讼，待行政争议有裁判结果后，再恢复民事部分审理，根据行政裁决认定的事实及裁判结果对民事部分进行裁判。例如甲集体经济组织修建了一栋房屋，乙经济组织向房屋登记机关提出异议，系在自己的土地上修建的，不能给予登记，甲向法院提起房屋产权确认之诉，乙以房屋的占地属于自己所有提出抗辩。这类权属争议案件用分离审判法是不存在异议的。但是本文的C案用分离审判法会出现严重的问题。C案法院对行政诉讼部分已独立判决，官渡区公安局承担20%赔偿责任，对民事部分没有处理。假如原告对民事部分提起民事赔偿诉讼，那么民事诉讼部分的当事人承担的民事责任为80%，从案情看被告有殴打的致害人（犯罪嫌疑人2人）、某急救中心、受害人。假如民事诉讼当事人对责任份额的划分提出抗辩，民事法官必须根据过错程度和原因力比较，后据此进行裁判。如认为官渡区公安局应承担的责任不应为20%，是否可以重新划分责任进行裁判呢？从法理来看，应当是可以的，因为两种诉讼是独立的，行政判决的效力并不追及民事赔偿诉讼的当事人，如果然如此，两个判决就出现冲突。之所以出现冲突，最深层次的法律原因是将法律上多因一果的“原因”进行了分割，然而事实上存在不可分割的必然联系。一旦分割处理，裁判的冲突成为一种必然。同时也未能保障被告的抗辩权。民法上解决这样的冲突，是通过“相当因果关系说”，“多因一果说”构建“连带责任论”及诉讼上的“必要共同诉讼”理论来解决裁判上的冲突问题，以保障当事人的诉权及抗辩权问题。由此看来，分离审判法在解决“介入交叉型”、“参与型交叉”行民交叉案件中是无能为力的，存在不能自圆其说的逻辑问题。必须另辟蹊径。</w:t>
      </w:r>
    </w:p>
    <w:p>
      <w:pPr>
        <w:numPr>
          <w:ilvl w:val="0"/>
          <w:numId w:val="1"/>
        </w:numPr>
        <w:ind w:firstLine="840" w:firstLineChars="3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并审判法的前提条件。所谓合并审判法，是指将行民交叉案件纳入一种诉讼进行审理裁判的审判方法，如纳入民事诉讼，可以对行政诉讼部分附带进行审理一并裁判，如纳入行政诉讼就附带民事诉讼部分进行审理一并裁判。这种方法显然从形式上克服了冲突，结果上避免了矛盾，但是否真正能够实现，必须进行讨论。</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行政附带民事诉讼的前提。对于附带的不属于人身损害赔偿问题比较简单或者不属于本论题讨论的范围，这里不去讨论，只就附带或并存的人身损害赔偿的问题进行探讨。不妨以C案为例从附带的问题出发进行反思。从案情看，官渡区公安局在受害人的近亲属提出行政赔偿请求时，可能没有对其他侵权人提出赔偿请求，或者故意请求官渡区公安局承担全额赔偿，或者是提出了对其他侵权人的赔偿请求，官渡区公安局嫌麻烦视而不见，仅决定属于自己的行政赔偿责任部分。同时在提起行政诉讼时，法院没有释明，或不想释明，不愿意审理其他侵权人的赔偿问题，简单就行政诉讼及行政赔偿进行审理，以致没有解决全部赔偿问题。但从案件的问题可以看出，合并审判法的前提条件是，第一原告在向行政机关请求时，一并提出由行政赔偿及民事赔偿事项，给行政附带民事赔偿诉讼进入创造诉讼条件；第二或由立案法官或审理法官进行释明，附带由原告提起民事诉讼。只有这样附带诉讼才有法律依据，因为民事诉讼的请求，只能由当事人提出，不能由行政机关和人民法院依职权行使。现实的情况是行政机关为了少担败诉风险，行政法官畏惧民事赔偿的复杂性，绕开问题，都不想涉及这类问题。如每年法院审理的道路交通事故责任纠纷有全国数十万件，交管部门几乎没有介入处理过民事赔偿部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行政附带民事诉讼法律适用问题。从行民交叉赔偿责任的视角看，法律适用问题有两个方向，一是程序法的交叉适用；二是实体法的交叉适用。就程序法而言，行政诉讼程序，裁判的事项是，确认行政行为违法，撤销行政行为，变更行政不适当的行为等，这是行政诉讼特有的，正是这一特殊性，才不能被民事诉讼替代；民事诉讼程序，确立的是民事主体之间的权利义务关系，明确诉讼标的，确定请求事项，为实体法的正确实施作保障的，裁判的结果有确认某项法律关系成立，支持给付或变更等。但就行政与民事人身损害赔偿而言，目的却是相同的。母法均来自于《宪法》，保障的权利均为人身权。从特别法与普通法的关系而言，《行政诉讼法》没有规定的，是可以适用《民事诉讼法》相关规定的。《行政诉讼法》第101条明确规定了这个问题。章剑生教授认为“第101条功能是，当行政案件所需要的诉讼程序</w:t>
      </w:r>
      <w:r>
        <w:rPr>
          <w:rFonts w:hint="eastAsia" w:ascii="黑体" w:hAnsi="黑体" w:eastAsia="黑体" w:cs="黑体"/>
          <w:sz w:val="28"/>
          <w:szCs w:val="28"/>
          <w:lang w:val="en-US" w:eastAsia="zh-CN"/>
        </w:rPr>
        <w:t>&lt;行政诉讼法&gt;欠缺时，指引法院到&lt;民事诉讼法&gt;中去寻找</w:t>
      </w:r>
      <w:r>
        <w:rPr>
          <w:rFonts w:hint="eastAsia" w:ascii="宋体" w:hAnsi="宋体" w:eastAsia="宋体" w:cs="宋体"/>
          <w:sz w:val="28"/>
          <w:szCs w:val="28"/>
          <w:lang w:val="en-US" w:eastAsia="zh-CN"/>
        </w:rPr>
        <w:t>”，“该条系补充规则之意”</w:t>
      </w:r>
      <w:r>
        <w:rPr>
          <w:rStyle w:val="9"/>
          <w:rFonts w:hint="eastAsia" w:ascii="宋体" w:hAnsi="宋体" w:eastAsia="宋体" w:cs="宋体"/>
          <w:sz w:val="28"/>
          <w:szCs w:val="28"/>
          <w:lang w:val="en-US" w:eastAsia="zh-CN"/>
        </w:rPr>
        <w:footnoteReference w:id="11" w:customMarkFollows="1"/>
        <w:t>（11）</w:t>
      </w:r>
      <w:r>
        <w:rPr>
          <w:rFonts w:hint="eastAsia" w:ascii="宋体" w:hAnsi="宋体" w:eastAsia="宋体" w:cs="宋体"/>
          <w:sz w:val="28"/>
          <w:szCs w:val="28"/>
          <w:lang w:val="en-US" w:eastAsia="zh-CN"/>
        </w:rPr>
        <w:t>，当然在适用《民事诉讼法》相应规则时以不抵触为原则。如文中案例C，《行政诉讼法》没有规定这种类型的必要共同诉讼问题，但《民事诉讼法》规定了这种类型必要共同诉讼问题，就可以适用《民事诉讼法》规定的必要共同诉讼规则。必要共同诉讼是指当事人一方或双方为二人以上，其诉讼标的是同一的共同诉讼，要求共同诉讼人必须一同起诉或应诉，未一同起诉或应诉的，应予追加，法院还必须合并审理，且做出合一判决。</w:t>
      </w:r>
      <w:r>
        <w:rPr>
          <w:rStyle w:val="9"/>
          <w:rFonts w:hint="eastAsia" w:ascii="宋体" w:hAnsi="宋体" w:eastAsia="宋体" w:cs="宋体"/>
          <w:sz w:val="28"/>
          <w:szCs w:val="28"/>
          <w:lang w:val="en-US" w:eastAsia="zh-CN"/>
        </w:rPr>
        <w:footnoteReference w:id="12" w:customMarkFollows="1"/>
        <w:t>（12）</w:t>
      </w:r>
      <w:r>
        <w:rPr>
          <w:rFonts w:hint="eastAsia" w:ascii="宋体" w:hAnsi="宋体" w:eastAsia="宋体" w:cs="宋体"/>
          <w:sz w:val="28"/>
          <w:szCs w:val="28"/>
          <w:lang w:val="en-US" w:eastAsia="zh-CN"/>
        </w:rPr>
        <w:t>这样就避免了裁判的冲突，达到保障当事人的诉讼权利。就实体法而言，无论是行政侵权和民事侵权，承担的人身损害赔偿责任，都因侵犯人身权利而起，人身权是以《宪法》为权利源头，落实到基本法《刑法》、《民法典》、《国家赔偿法》中。这三部法律尤其以《民法典》最为完整和全面，法理基础更为成熟，赔偿以填平损失为基本原则，同时《国家赔偿法》及《刑法》中民事赔偿责任理论基础都是从民法的侵权责任论演化而来，正如德国著名行政法学者奥托.迈耶所言“国家作为国库——即以私法形式出现时——必须同私法人一样，对由其‘领导机构、领导机构的成员或其他宪法规定的代理人’对他人所作的应予赔偿的损害行为负责。”</w:t>
      </w:r>
      <w:r>
        <w:rPr>
          <w:rStyle w:val="9"/>
          <w:rFonts w:hint="eastAsia" w:ascii="宋体" w:hAnsi="宋体" w:eastAsia="宋体" w:cs="宋体"/>
          <w:sz w:val="28"/>
          <w:szCs w:val="28"/>
          <w:lang w:val="en-US" w:eastAsia="zh-CN"/>
        </w:rPr>
        <w:footnoteReference w:id="13" w:customMarkFollows="1"/>
        <w:t>（13）</w:t>
      </w:r>
      <w:r>
        <w:rPr>
          <w:rFonts w:hint="eastAsia" w:ascii="宋体" w:hAnsi="宋体" w:eastAsia="宋体" w:cs="宋体"/>
          <w:sz w:val="28"/>
          <w:szCs w:val="28"/>
          <w:lang w:val="en-US" w:eastAsia="zh-CN"/>
        </w:rPr>
        <w:t>。如《国家赔偿法》中的“相当因果关系”理论就起源民法的相当因果关系理论。因此《国家赔偿法》没有规定的，应当适用《民法典》规定，理论上欠缺的可以借用民法的基本理论，如连带责任，不真正连带责任，补充责任等《国家赔偿法》是没有的，裁判说理完全可借鉴这些理论进行分析，引用时也可以引用相关的《民法典》法条。日本、法国、德国、美国等国家的国家赔偿就有类似的规定或判例。如，1961年11月24日法国最高行政法院在Letissterand案中移植民法的精神损害赔偿规则判决原告获得1000法郎的精神损害赔偿金。</w:t>
      </w:r>
      <w:r>
        <w:rPr>
          <w:rStyle w:val="9"/>
          <w:rFonts w:hint="eastAsia" w:ascii="宋体" w:hAnsi="宋体" w:eastAsia="宋体" w:cs="宋体"/>
          <w:sz w:val="28"/>
          <w:szCs w:val="28"/>
          <w:lang w:val="en-US" w:eastAsia="zh-CN"/>
        </w:rPr>
        <w:footnoteReference w:id="14" w:customMarkFollows="1"/>
        <w:t>（14）</w:t>
      </w:r>
      <w:r>
        <w:rPr>
          <w:rFonts w:hint="eastAsia" w:ascii="宋体" w:hAnsi="宋体" w:eastAsia="宋体" w:cs="宋体"/>
          <w:sz w:val="28"/>
          <w:szCs w:val="28"/>
          <w:lang w:val="en-US" w:eastAsia="zh-CN"/>
        </w:rPr>
        <w:t>其实这个问题还可以通过罗伯特.阿列克西的的法律论证理论获得证明。我们假设行民交叉侵权案件事实为F，行政赔偿原则和规则为P1，民事赔偿原则和规则为P2，受到侵害的程度为D,获得的个案利益为I,在P1下D1，在P2下D2，得出D1</w:t>
      </w:r>
      <w:r>
        <w:rPr>
          <w:rFonts w:hint="eastAsia" w:ascii="黑体" w:hAnsi="黑体" w:eastAsia="黑体" w:cs="黑体"/>
          <w:sz w:val="28"/>
          <w:szCs w:val="28"/>
          <w:lang w:val="en-US" w:eastAsia="zh-CN"/>
        </w:rPr>
        <w:t>&lt;</w:t>
      </w:r>
      <w:r>
        <w:rPr>
          <w:rFonts w:hint="eastAsia" w:ascii="宋体" w:hAnsi="宋体" w:eastAsia="宋体" w:cs="宋体"/>
          <w:sz w:val="28"/>
          <w:szCs w:val="28"/>
          <w:lang w:val="en-US" w:eastAsia="zh-CN"/>
        </w:rPr>
        <w:t>D2,在P1下I1，在P2下I2，得出I1</w:t>
      </w:r>
      <w:r>
        <w:rPr>
          <w:rFonts w:hint="eastAsia" w:ascii="黑体" w:hAnsi="黑体" w:eastAsia="黑体" w:cs="黑体"/>
          <w:sz w:val="28"/>
          <w:szCs w:val="28"/>
          <w:lang w:val="en-US" w:eastAsia="zh-CN"/>
        </w:rPr>
        <w:t>&lt;</w:t>
      </w:r>
      <w:r>
        <w:rPr>
          <w:rFonts w:hint="eastAsia" w:ascii="宋体" w:hAnsi="宋体" w:eastAsia="宋体" w:cs="宋体"/>
          <w:sz w:val="28"/>
          <w:szCs w:val="28"/>
          <w:lang w:val="en-US" w:eastAsia="zh-CN"/>
        </w:rPr>
        <w:t>I2,因此P2</w:t>
      </w:r>
      <w:r>
        <w:rPr>
          <w:rFonts w:hint="eastAsia" w:ascii="黑体" w:hAnsi="黑体" w:eastAsia="黑体" w:cs="黑体"/>
          <w:sz w:val="28"/>
          <w:szCs w:val="28"/>
          <w:lang w:val="en-US" w:eastAsia="zh-CN"/>
        </w:rPr>
        <w:t>&gt;</w:t>
      </w:r>
      <w:r>
        <w:rPr>
          <w:rFonts w:hint="eastAsia" w:ascii="宋体" w:hAnsi="宋体" w:eastAsia="宋体" w:cs="宋体"/>
          <w:sz w:val="28"/>
          <w:szCs w:val="28"/>
          <w:lang w:val="en-US" w:eastAsia="zh-CN"/>
        </w:rPr>
        <w:t>P1，由此推导出P2应当优先P1适用。</w:t>
      </w:r>
      <w:r>
        <w:rPr>
          <w:rStyle w:val="9"/>
          <w:rFonts w:hint="eastAsia" w:ascii="宋体" w:hAnsi="宋体" w:eastAsia="宋体" w:cs="宋体"/>
          <w:sz w:val="28"/>
          <w:szCs w:val="28"/>
          <w:lang w:val="en-US" w:eastAsia="zh-CN"/>
        </w:rPr>
        <w:footnoteReference w:id="15" w:customMarkFollows="1"/>
        <w:t>（15）</w:t>
      </w:r>
      <w:r>
        <w:rPr>
          <w:rFonts w:hint="eastAsia" w:ascii="宋体" w:hAnsi="宋体" w:eastAsia="宋体" w:cs="宋体"/>
          <w:sz w:val="28"/>
          <w:szCs w:val="28"/>
          <w:lang w:val="en-US" w:eastAsia="zh-CN"/>
        </w:rPr>
        <w:t>《国家赔偿法》及《民法典》对于不同侵权主体赔偿标准不统一的问题，笔者认为在并案审理一并划分责任比例后，以统一适用民事赔偿标准为佳，因为，分别计算，遇到属于连带责任的，民事侵权主体承担的责任可能高于同一的民事侵权主体，这样显然不公平。另外行政赔偿经费来自于国库，国库资金系纳税人的，赔偿标准高了，意味着纳税人多承担了费用，理由何在？同时赔偿本来的意思就是填补损失。当然赔偿标准的最终解决方法，还是通过修改《国家赔偿法》赔偿标准来达到与《民法典》赔偿标准的统一是更为科学的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3.准予行政机关对其他责任主体追偿。对于行民主体交叉侵权，主体之间可能存在共同故意或者共同过失的情形，拟用民法的共同侵权的连带责任，行政机关不仅承担了自己的份额，还可能因为连带关系承担了其他民事侵权主体对受害人的责任部分，按照连带责任原理，承担了他人责任后是可以向他人追偿的，但《国家赔偿法》仅规定了对行政机关内部工作人员的追偿，没有规定对民事侵权责任主体追偿，如果不拟用《民法典》的追偿规则，显然放过了其他共同侵权人应承担的责任，这显然不正义，因此应参照民法追偿规则进行追偿。</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综合审判法。所谓综合审判法是指对行民交叉案件根据个案特点，选择运用分离审判法与合并审判法中的一种来审理的一种裁判方法，属于折中法。运用合并审判法时可以细分为行政附带民事的方法，也可以根据案件事实部分主从关系特点进行民事附带行政审理裁判，如文中B案就是行政附带民事的方法，因为主要的是民事主体侵权，不作为的行政主体侵权事实仅是原告妄设的，且即使行政主体不作为，与原告的损害也不存在因果关系，原告没有请求确认行政行为违法，法院不需要对该项作出裁判，从而通过审理确定的因果关系事实排除行政机关的责任，最后转化为民事判决解决纠纷。</w:t>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四、理论与实践：回归司法实践的再演算。</w:t>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审理方法是通过司法实践总结高度概括而成，是否真正能够解决实际问题，还需要回归司法实践的案件中进行检验。下面回归案件进行具体审理程序设计。</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（一）行民交叉案件审判要点。</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阅读诉状确定适用于本案的审判方法。一是立案环节应当准确把握。从笔者查阅到的案件情况看，很多案件混淆了行民诉讼的界限，把主要是行政争议的案件立成民事案件。二是在初审阅卷环节确定行民交叉性质，具体确定审判方法。如上例案件C立成行政附带民事赔偿案件，可以确定选择合并审判法来解决行民交叉争议问题。</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确定因果关系类型从而识别责任形态。行民交叉侵权的责任形态在《国家赔偿法》中没有相关规定，必须借助民法的基本理论来沥清这个问题。责任形态从法哲学的层面来思考，其实责任形态是因果关系产生的果，有什么样的因果关系就会产生什么样的责任形态。对于因果关系杨立新教授认为，“客观现象之间的这种引起与被引起的关系，就是因果关系”</w:t>
      </w:r>
      <w:r>
        <w:rPr>
          <w:rStyle w:val="9"/>
          <w:rFonts w:hint="eastAsia" w:ascii="宋体" w:hAnsi="宋体" w:eastAsia="宋体" w:cs="宋体"/>
          <w:sz w:val="28"/>
          <w:szCs w:val="28"/>
          <w:lang w:val="en-US" w:eastAsia="zh-CN"/>
        </w:rPr>
        <w:footnoteReference w:id="16" w:customMarkFollows="1"/>
        <w:t>（16）</w:t>
      </w:r>
      <w:r>
        <w:rPr>
          <w:rFonts w:hint="eastAsia" w:ascii="宋体" w:hAnsi="宋体" w:eastAsia="宋体" w:cs="宋体"/>
          <w:sz w:val="28"/>
          <w:szCs w:val="28"/>
          <w:lang w:val="en-US" w:eastAsia="zh-CN"/>
        </w:rPr>
        <w:t>对于因果关系学说《国家赔偿法》及《民法典（侵权责任编）》均以“相当因果关系说”为理论基础构建相关规范。因果关系中关键点是过错的判断，过错又分为“故意”与“过失”。“故意”容易判断，只要是行为人希望或放任行为发生损害即构成，过失较难判断，这里可借用汉德公式，设定发生损失的概率为P，损失金额为L，预防成本为B，则B</w:t>
      </w:r>
      <w:r>
        <w:rPr>
          <w:rFonts w:hint="eastAsia" w:ascii="黑体" w:hAnsi="黑体" w:eastAsia="黑体" w:cs="黑体"/>
          <w:sz w:val="28"/>
          <w:szCs w:val="28"/>
          <w:lang w:val="en-US" w:eastAsia="zh-CN"/>
        </w:rPr>
        <w:t>&lt;</w:t>
      </w:r>
      <w:r>
        <w:rPr>
          <w:rFonts w:hint="eastAsia" w:ascii="宋体" w:hAnsi="宋体" w:eastAsia="宋体" w:cs="宋体"/>
          <w:sz w:val="28"/>
          <w:szCs w:val="28"/>
          <w:lang w:val="en-US" w:eastAsia="zh-CN"/>
        </w:rPr>
        <w:t>PL时，侵权人始有过失。</w:t>
      </w:r>
      <w:r>
        <w:rPr>
          <w:rStyle w:val="9"/>
          <w:rFonts w:hint="eastAsia" w:ascii="宋体" w:hAnsi="宋体" w:eastAsia="宋体" w:cs="宋体"/>
          <w:sz w:val="28"/>
          <w:szCs w:val="28"/>
          <w:lang w:val="en-US" w:eastAsia="zh-CN"/>
        </w:rPr>
        <w:footnoteReference w:id="17" w:customMarkFollows="1"/>
        <w:t>（17）</w:t>
      </w:r>
      <w:r>
        <w:rPr>
          <w:rFonts w:hint="eastAsia" w:ascii="宋体" w:hAnsi="宋体" w:eastAsia="宋体" w:cs="宋体"/>
          <w:sz w:val="28"/>
          <w:szCs w:val="28"/>
          <w:lang w:val="en-US" w:eastAsia="zh-CN"/>
        </w:rPr>
        <w:t>当然个别人格权等案件仅靠这个公式是不够的，还必须结合社会善良风俗等价值取向进行判断。</w:t>
      </w:r>
      <w:r>
        <w:rPr>
          <w:rStyle w:val="9"/>
          <w:rFonts w:hint="eastAsia" w:ascii="宋体" w:hAnsi="宋体" w:eastAsia="宋体" w:cs="宋体"/>
          <w:sz w:val="28"/>
          <w:szCs w:val="28"/>
          <w:lang w:val="en-US" w:eastAsia="zh-CN"/>
        </w:rPr>
        <w:footnoteReference w:id="18" w:customMarkFollows="1"/>
        <w:t>（18）</w:t>
      </w:r>
      <w:r>
        <w:rPr>
          <w:rFonts w:hint="eastAsia" w:ascii="宋体" w:hAnsi="宋体" w:eastAsia="宋体" w:cs="宋体"/>
          <w:sz w:val="28"/>
          <w:szCs w:val="28"/>
          <w:lang w:val="en-US" w:eastAsia="zh-CN"/>
        </w:rPr>
        <w:t>行民交叉侵权的因果关系一般来说是复数因果</w:t>
      </w:r>
      <w:r>
        <w:rPr>
          <w:rFonts w:hint="eastAsia" w:ascii="宋体" w:hAnsi="宋体" w:eastAsia="宋体" w:cs="宋体"/>
          <w:color w:val="auto"/>
          <w:sz w:val="28"/>
          <w:szCs w:val="28"/>
          <w:lang w:val="en-US" w:eastAsia="zh-CN"/>
        </w:rPr>
        <w:t>关系，复数因果关系可分为共同因果关系</w:t>
      </w:r>
      <w:r>
        <w:rPr>
          <w:rFonts w:hint="eastAsia" w:ascii="宋体" w:hAnsi="宋体" w:eastAsia="宋体" w:cs="宋体"/>
          <w:sz w:val="28"/>
          <w:szCs w:val="28"/>
          <w:lang w:val="en-US" w:eastAsia="zh-CN"/>
        </w:rPr>
        <w:t>、竞合因果关系、累积因果关系、修补因果关系、择一因果关系和假设因果关系。</w:t>
      </w:r>
      <w:r>
        <w:rPr>
          <w:rStyle w:val="9"/>
          <w:rFonts w:hint="eastAsia" w:ascii="宋体" w:hAnsi="宋体" w:eastAsia="宋体" w:cs="宋体"/>
          <w:sz w:val="28"/>
          <w:szCs w:val="28"/>
          <w:lang w:val="en-US" w:eastAsia="zh-CN"/>
        </w:rPr>
        <w:footnoteReference w:id="19" w:customMarkFollows="1"/>
        <w:t>（19）</w:t>
      </w:r>
      <w:r>
        <w:rPr>
          <w:rFonts w:hint="eastAsia" w:ascii="宋体" w:hAnsi="宋体" w:eastAsia="宋体" w:cs="宋体"/>
          <w:sz w:val="28"/>
          <w:szCs w:val="28"/>
          <w:lang w:val="en-US" w:eastAsia="zh-CN"/>
        </w:rPr>
        <w:t>共同因果关系是指行为人分别实施加害行为，给受害人造成同一损害，每一个加害行为单独发生均不足以造成部分或者全部的损害，是加害行为结合造成的损害。这种责任为按份责任或平均承担责任。竞合因果关系是加害行为之间成竞合关系，即每一个加害行为都可能造成损害结果。承担责任的方式为连带责任。修补的因果关系是共同因果关系的特殊形式，即造成损害的原因依次发生，在先原因产生的损害后果被在后的原因加以改变，加害人之间无共同故意，并且任何一个加害行为都不足以造成全部损害。修补的因果关系关键在于责任范围因果关系的判断，确定行为人之间的责任大小，承担的是原因力比例的按份责任。择一因果关系是指损害是由于多个行为人中的某一或者某一些人的行为所致，但不能确定具体的侵权人。如共同危险行为就是这样的因果关系，承担的责任为连带责任。假设的因果关系是指损害是某一加害人的行为而发生，即使加害人的行为不存在，损害的全部或部分也会因另外一个与加害人无关的原因发生</w:t>
      </w:r>
      <w:r>
        <w:rPr>
          <w:rStyle w:val="9"/>
          <w:rFonts w:hint="eastAsia" w:ascii="宋体" w:hAnsi="宋体" w:eastAsia="宋体" w:cs="宋体"/>
          <w:sz w:val="28"/>
          <w:szCs w:val="28"/>
          <w:lang w:val="en-US" w:eastAsia="zh-CN"/>
        </w:rPr>
        <w:footnoteReference w:id="20" w:customMarkFollows="1"/>
        <w:t>（20）</w:t>
      </w:r>
      <w:r>
        <w:rPr>
          <w:rFonts w:hint="eastAsia" w:ascii="宋体" w:hAnsi="宋体" w:eastAsia="宋体" w:cs="宋体"/>
          <w:sz w:val="28"/>
          <w:szCs w:val="28"/>
          <w:lang w:val="en-US" w:eastAsia="zh-CN"/>
        </w:rPr>
        <w:t>，假设的因果关系存在两个原因，一个原因与实际损害无关，系“假设原因”，一个原因引发实际损害系“真正原因”。假设的原因可能是第三人的行为、受害人自己的行为或者事件。如李某为自己的玉米喷洒农药，遇大风，农药飘到张某的池塘，致鱼苗部分死亡。德国民法通说认为，假设原因之前损害已发生，按原损害赔偿，反之减轻责任赔偿。</w:t>
      </w:r>
      <w:r>
        <w:rPr>
          <w:rStyle w:val="9"/>
          <w:rFonts w:hint="eastAsia" w:ascii="宋体" w:hAnsi="宋体" w:eastAsia="宋体" w:cs="宋体"/>
          <w:sz w:val="28"/>
          <w:szCs w:val="28"/>
          <w:lang w:val="en-US" w:eastAsia="zh-CN"/>
        </w:rPr>
        <w:footnoteReference w:id="21" w:customMarkFollows="1"/>
        <w:t>（21）</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寻找现有行民法律规范填补法律漏洞。在具体案件裁判时，法官应当从《行政诉讼法》、《民事诉讼法》、《国家赔偿法》、《民法典（侵权责任编）》等法律中根据案件确定的法律关系属性找到具体的法律规范，对于寻找到的法律规范存在冲突的部分按特别法优于普通法，后法优于前法的原则进行适用，对于没有或缺乏规范的通过类推及解释的方法进行漏洞填补，并进行证立。</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4.确定责任形态划分责任份额。按上面分析总结的因果关系分类方法确定责任形态，并按过错程度及原因力划分侵权人内部的责任份额。</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强化裁判说理正确作出裁判。行民交叉侵权案件的裁判说理，必须围绕请求权展开，一是阐明行政行为的是否违法，运用法律依据进行判断；二是阐明行政行为与损害结果是否存在因果关系；三是阐明行政行为与民事侵权行为结合后的因果关系属性；四是确定责任范围的因果关系；五是根据因果关系性质确定责任形态；六是根据原因力及过错大小划分责任份额作出裁判。</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（二）代入审判方程式的实例推演。我们不妨回到C案用本文总结的审判方法进行审理。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消除程序障碍。假设受害人的近亲属A、B在诉讼中未将殴打的侵权人E、F及某急救中心D列为被告，仅将官渡区公安局列为被告，请求事项为（1）确认官渡区公安局行为违法；（2）渡区公安局赔偿原告A、B救济损失X元。法院以行政诉讼立案进入审理环节，合议庭应当作的工作是向原告A、B释明，告知，E、F、D均为侵权人应申请追加为必要共同诉讼被告，或者依职权追加E、F、D，如原告不同意追加按放弃相应部分的赔偿处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审理时确定因果关系事实并分类划责。按照因果关系性质的定义，可以排除C案的因果关系不属于共同因果关系、竞合因果关系、择一因果关系，而可能是累积因果关系、修补关系、假设因果关系。到底是哪一种因果关系，还需要进一步分析，从案情看，可以排除修补的因果关系，因A、B的侵权行为，受害人完全有可能因无人救治或后续的发现抢救不及时，而造成受害人死亡的后果；同时可以排除假设因果关系，因D与官渡区公安局的行为如果没有E、F的殴打行为是不可能造成受害人死亡的损害后果的。由此C案的因果关系属于累积因果关系，对于该因果关系整体上属于按份责任，又E、F系共同侵权相互应承担连带责任，而D与官渡区公安局责任分别来自于未完全尽检查抢救义务、保护通知义务过错，分别应承担自己的责任。从原因力及过错程度看，E、F应承担主要责任，D与官渡区公安局承担次要责任。</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3.分清责任依法裁判。上面已将责任大小，责任形态，责任范围进行了分析，裁判结果不言而喻。</w:t>
      </w:r>
    </w:p>
    <w:sectPr>
      <w:headerReference r:id="rId4" w:type="default"/>
      <w:footerReference r:id="rId5" w:type="default"/>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p>
  </w:footnote>
  <w:footnote w:id="1">
    <w:p>
      <w:pPr>
        <w:pStyle w:val="5"/>
        <w:snapToGrid w:val="0"/>
        <w:rPr>
          <w:rFonts w:hint="default" w:eastAsiaTheme="minorEastAsia"/>
          <w:lang w:val="en-US" w:eastAsia="zh-CN"/>
        </w:rPr>
      </w:pPr>
      <w:r>
        <w:rPr>
          <w:rStyle w:val="9"/>
        </w:rPr>
        <w:t>（1）</w:t>
      </w:r>
      <w:r>
        <w:t xml:space="preserve"> </w:t>
      </w:r>
      <w:r>
        <w:rPr>
          <w:rFonts w:hint="eastAsia"/>
          <w:lang w:eastAsia="zh-CN"/>
        </w:rPr>
        <w:t>参见《人民法院案例选（行政卷</w:t>
      </w:r>
      <w:r>
        <w:rPr>
          <w:rFonts w:hint="eastAsia"/>
          <w:lang w:val="en-US" w:eastAsia="zh-CN"/>
        </w:rPr>
        <w:t>1992-1999</w:t>
      </w:r>
      <w:r>
        <w:rPr>
          <w:rFonts w:hint="eastAsia"/>
          <w:lang w:eastAsia="zh-CN"/>
        </w:rPr>
        <w:t>）》中国法制出版社</w:t>
      </w:r>
      <w:r>
        <w:rPr>
          <w:rFonts w:hint="eastAsia"/>
          <w:lang w:val="en-US" w:eastAsia="zh-CN"/>
        </w:rPr>
        <w:t>,2000年9月北京第一版第1193-1198页。</w:t>
      </w:r>
    </w:p>
    <w:p>
      <w:pPr>
        <w:pStyle w:val="5"/>
        <w:snapToGrid w:val="0"/>
      </w:pPr>
    </w:p>
  </w:footnote>
  <w:footnote w:id="2">
    <w:p>
      <w:pPr>
        <w:pStyle w:val="5"/>
        <w:snapToGrid w:val="0"/>
      </w:pPr>
      <w:r>
        <w:rPr>
          <w:rStyle w:val="9"/>
        </w:rPr>
        <w:t>（2）</w:t>
      </w:r>
      <w:r>
        <w:t xml:space="preserve"> </w:t>
      </w:r>
      <w:r>
        <w:rPr>
          <w:rFonts w:hint="eastAsia"/>
          <w:lang w:eastAsia="zh-CN"/>
        </w:rPr>
        <w:t>参见重庆市第三中级人民法院（</w:t>
      </w:r>
      <w:r>
        <w:rPr>
          <w:rFonts w:hint="eastAsia"/>
          <w:lang w:val="en-US" w:eastAsia="zh-CN"/>
        </w:rPr>
        <w:t>2020</w:t>
      </w:r>
      <w:r>
        <w:rPr>
          <w:rFonts w:hint="eastAsia"/>
          <w:lang w:eastAsia="zh-CN"/>
        </w:rPr>
        <w:t>）渝 03 民终 1593 号判决书。</w:t>
      </w:r>
    </w:p>
  </w:footnote>
  <w:footnote w:id="3">
    <w:p>
      <w:pPr>
        <w:pStyle w:val="5"/>
        <w:snapToGrid w:val="0"/>
        <w:rPr>
          <w:rFonts w:hint="default" w:eastAsiaTheme="minorEastAsia"/>
          <w:lang w:val="en-US" w:eastAsia="zh-CN"/>
        </w:rPr>
      </w:pPr>
      <w:r>
        <w:rPr>
          <w:rStyle w:val="9"/>
        </w:rPr>
        <w:t>（3）</w:t>
      </w:r>
      <w:r>
        <w:t xml:space="preserve"> </w:t>
      </w:r>
      <w:r>
        <w:rPr>
          <w:rFonts w:hint="eastAsia"/>
          <w:lang w:eastAsia="zh-CN"/>
        </w:rPr>
        <w:t>这里借用侵权责任法因果关系的分类方法，不同的是侵权主体中其至少有一个是行政主体。见程啸著：《侵权责任法》，法律出版社</w:t>
      </w:r>
      <w:r>
        <w:rPr>
          <w:rFonts w:hint="eastAsia"/>
          <w:lang w:val="en-US" w:eastAsia="zh-CN"/>
        </w:rPr>
        <w:t>2015年版第238-242页。</w:t>
      </w:r>
    </w:p>
    <w:p>
      <w:pPr>
        <w:pStyle w:val="5"/>
        <w:snapToGrid w:val="0"/>
      </w:pPr>
    </w:p>
  </w:footnote>
  <w:footnote w:id="4">
    <w:p>
      <w:pPr>
        <w:pStyle w:val="5"/>
        <w:snapToGrid w:val="0"/>
        <w:rPr>
          <w:rFonts w:hint="default"/>
          <w:lang w:val="en-US"/>
        </w:rPr>
      </w:pPr>
      <w:r>
        <w:rPr>
          <w:rStyle w:val="9"/>
        </w:rPr>
        <w:t>（4）</w:t>
      </w:r>
      <w:r>
        <w:t xml:space="preserve"> </w:t>
      </w:r>
      <w:r>
        <w:rPr>
          <w:rFonts w:hint="eastAsia"/>
          <w:lang w:eastAsia="zh-CN"/>
        </w:rPr>
        <w:t>参见</w:t>
      </w:r>
      <w:r>
        <w:rPr>
          <w:rFonts w:hint="eastAsia"/>
          <w:lang w:val="en-US" w:eastAsia="zh-CN"/>
        </w:rPr>
        <w:t>姜明安主编：《行政法与行政诉讼法》，北京大学出版社及高等教育出版社1999年10月第1版398-400页。</w:t>
      </w:r>
    </w:p>
    <w:p>
      <w:pPr>
        <w:pStyle w:val="5"/>
        <w:snapToGrid w:val="0"/>
      </w:pPr>
    </w:p>
  </w:footnote>
  <w:footnote w:id="5">
    <w:p>
      <w:pPr>
        <w:pStyle w:val="5"/>
        <w:snapToGrid w:val="0"/>
      </w:pPr>
      <w:r>
        <w:rPr>
          <w:rStyle w:val="9"/>
        </w:rPr>
        <w:t>（5）</w:t>
      </w:r>
      <w:r>
        <w:t xml:space="preserve"> </w:t>
      </w:r>
      <w:r>
        <w:rPr>
          <w:rFonts w:hint="eastAsia" w:ascii="黑体" w:hAnsi="黑体" w:eastAsia="黑体" w:cs="黑体"/>
        </w:rPr>
        <w:t>[</w:t>
      </w:r>
      <w:r>
        <w:rPr>
          <w:rFonts w:hint="eastAsia" w:ascii="黑体" w:hAnsi="黑体" w:eastAsia="黑体" w:cs="黑体"/>
          <w:lang w:eastAsia="zh-CN"/>
        </w:rPr>
        <w:t>日</w:t>
      </w:r>
      <w:r>
        <w:rPr>
          <w:rFonts w:hint="eastAsia" w:ascii="黑体" w:hAnsi="黑体" w:eastAsia="黑体" w:cs="黑体"/>
        </w:rPr>
        <w:t>]</w:t>
      </w:r>
      <w:r>
        <w:rPr>
          <w:rFonts w:hint="eastAsia"/>
          <w:lang w:eastAsia="zh-CN"/>
        </w:rPr>
        <w:t>南博方著：《行政法》，杨建顺译，商务印书馆</w:t>
      </w:r>
      <w:r>
        <w:rPr>
          <w:rFonts w:hint="eastAsia"/>
          <w:lang w:val="en-US" w:eastAsia="zh-CN"/>
        </w:rPr>
        <w:t>2020年版第147页。</w:t>
      </w:r>
    </w:p>
  </w:footnote>
  <w:footnote w:id="6">
    <w:p>
      <w:pPr>
        <w:pStyle w:val="5"/>
        <w:snapToGrid w:val="0"/>
      </w:pPr>
      <w:r>
        <w:rPr>
          <w:rStyle w:val="9"/>
        </w:rPr>
        <w:t>（6）</w:t>
      </w:r>
      <w:r>
        <w:t xml:space="preserve"> </w:t>
      </w:r>
      <w:r>
        <w:rPr>
          <w:rFonts w:hint="eastAsia"/>
          <w:lang w:eastAsia="zh-CN"/>
        </w:rPr>
        <w:t>王名扬著：《美国行政法》，中国法制出版社，</w:t>
      </w:r>
      <w:r>
        <w:rPr>
          <w:rFonts w:hint="eastAsia"/>
          <w:lang w:val="en-US" w:eastAsia="zh-CN"/>
        </w:rPr>
        <w:t>1995年1月北京第1版第274页。</w:t>
      </w:r>
    </w:p>
  </w:footnote>
  <w:footnote w:id="7">
    <w:p>
      <w:pPr>
        <w:pStyle w:val="5"/>
        <w:snapToGrid w:val="0"/>
        <w:rPr>
          <w:rFonts w:hint="default" w:eastAsiaTheme="minorEastAsia"/>
          <w:lang w:val="en-US" w:eastAsia="zh-CN"/>
        </w:rPr>
      </w:pPr>
      <w:r>
        <w:rPr>
          <w:rStyle w:val="9"/>
        </w:rPr>
        <w:t>（7）</w:t>
      </w:r>
      <w:r>
        <w:t xml:space="preserve"> </w:t>
      </w:r>
      <w:r>
        <w:rPr>
          <w:rFonts w:hint="eastAsia" w:ascii="黑体" w:hAnsi="黑体" w:eastAsia="黑体" w:cs="黑体"/>
        </w:rPr>
        <w:t>[</w:t>
      </w:r>
      <w:r>
        <w:rPr>
          <w:rFonts w:hint="eastAsia" w:ascii="黑体" w:hAnsi="黑体" w:eastAsia="黑体" w:cs="黑体"/>
          <w:lang w:eastAsia="zh-CN"/>
        </w:rPr>
        <w:t>英</w:t>
      </w:r>
      <w:r>
        <w:rPr>
          <w:rFonts w:hint="eastAsia" w:ascii="黑体" w:hAnsi="黑体" w:eastAsia="黑体" w:cs="黑体"/>
        </w:rPr>
        <w:t>]</w:t>
      </w:r>
      <w:r>
        <w:rPr>
          <w:rFonts w:hint="eastAsia" w:ascii="黑体" w:hAnsi="黑体" w:eastAsia="黑体" w:cs="黑体"/>
          <w:lang w:val="en-US" w:eastAsia="zh-CN"/>
        </w:rPr>
        <w:t>L.</w:t>
      </w:r>
      <w:r>
        <w:rPr>
          <w:rFonts w:hint="eastAsia"/>
          <w:lang w:eastAsia="zh-CN"/>
        </w:rPr>
        <w:t>赖维乐</w:t>
      </w:r>
      <w:r>
        <w:rPr>
          <w:rFonts w:hint="eastAsia" w:ascii="宋体" w:hAnsi="宋体" w:eastAsia="宋体" w:cs="宋体"/>
          <w:lang w:eastAsia="zh-CN"/>
        </w:rPr>
        <w:t>.</w:t>
      </w:r>
      <w:r>
        <w:rPr>
          <w:rFonts w:hint="eastAsia"/>
          <w:lang w:eastAsia="zh-CN"/>
        </w:rPr>
        <w:t>布朗等著：高秦伟等译，《法国行政法》中国人民大学出版社</w:t>
      </w:r>
      <w:r>
        <w:rPr>
          <w:rFonts w:hint="eastAsia"/>
          <w:lang w:val="en-US" w:eastAsia="zh-CN"/>
        </w:rPr>
        <w:t xml:space="preserve"> 2009年版（第五版）第176页。</w:t>
      </w:r>
    </w:p>
    <w:p>
      <w:pPr>
        <w:pStyle w:val="5"/>
        <w:snapToGrid w:val="0"/>
      </w:pPr>
    </w:p>
  </w:footnote>
  <w:footnote w:id="8">
    <w:p>
      <w:pPr>
        <w:pStyle w:val="5"/>
        <w:snapToGrid w:val="0"/>
        <w:rPr>
          <w:rFonts w:hint="default"/>
          <w:lang w:val="en-US"/>
        </w:rPr>
      </w:pPr>
      <w:r>
        <w:rPr>
          <w:rStyle w:val="9"/>
        </w:rPr>
        <w:t>（8）</w:t>
      </w:r>
      <w:r>
        <w:t xml:space="preserve"> </w:t>
      </w:r>
      <w:r>
        <w:rPr>
          <w:rFonts w:hint="eastAsia"/>
          <w:lang w:eastAsia="zh-CN"/>
        </w:rPr>
        <w:t>参见</w:t>
      </w:r>
      <w:r>
        <w:rPr>
          <w:rFonts w:hint="eastAsia" w:ascii="黑体" w:hAnsi="黑体" w:eastAsia="黑体" w:cs="黑体"/>
        </w:rPr>
        <w:t>[</w:t>
      </w:r>
      <w:r>
        <w:rPr>
          <w:rFonts w:hint="eastAsia" w:ascii="黑体" w:hAnsi="黑体" w:eastAsia="黑体" w:cs="黑体"/>
          <w:lang w:eastAsia="zh-CN"/>
        </w:rPr>
        <w:t>日</w:t>
      </w:r>
      <w:r>
        <w:rPr>
          <w:rFonts w:hint="eastAsia" w:ascii="黑体" w:hAnsi="黑体" w:eastAsia="黑体" w:cs="黑体"/>
        </w:rPr>
        <w:t>]</w:t>
      </w:r>
      <w:r>
        <w:rPr>
          <w:rFonts w:hint="eastAsia"/>
          <w:lang w:eastAsia="zh-CN"/>
        </w:rPr>
        <w:t>南博方著：《行政法》，杨建顺译，商务印书馆</w:t>
      </w:r>
      <w:r>
        <w:rPr>
          <w:rFonts w:hint="eastAsia"/>
          <w:lang w:val="en-US" w:eastAsia="zh-CN"/>
        </w:rPr>
        <w:t>2020年版第14-15页。</w:t>
      </w:r>
    </w:p>
    <w:p>
      <w:pPr>
        <w:pStyle w:val="5"/>
        <w:snapToGrid w:val="0"/>
      </w:pPr>
    </w:p>
  </w:footnote>
  <w:footnote w:id="9">
    <w:p>
      <w:pPr>
        <w:pStyle w:val="5"/>
        <w:snapToGrid w:val="0"/>
      </w:pPr>
      <w:r>
        <w:rPr>
          <w:rStyle w:val="9"/>
        </w:rPr>
        <w:t>（9）</w:t>
      </w:r>
      <w:r>
        <w:t xml:space="preserve"> </w:t>
      </w:r>
      <w:r>
        <w:rPr>
          <w:rFonts w:hint="eastAsia"/>
          <w:lang w:eastAsia="zh-CN"/>
        </w:rPr>
        <w:t>参见李爽在“行政与民事争议关联案件的诉讼研究”一文提出的“民事诉讼中人民法院可以审查行政行为的合法性”，《全国法院第</w:t>
      </w:r>
      <w:r>
        <w:rPr>
          <w:rFonts w:hint="eastAsia"/>
          <w:lang w:val="en-US" w:eastAsia="zh-CN"/>
        </w:rPr>
        <w:t>22届学术讨论会论文集</w:t>
      </w:r>
      <w:r>
        <w:rPr>
          <w:rFonts w:hint="eastAsia"/>
          <w:lang w:eastAsia="zh-CN"/>
        </w:rPr>
        <w:t>》，人民法院出版社</w:t>
      </w:r>
      <w:r>
        <w:rPr>
          <w:rFonts w:hint="eastAsia"/>
          <w:lang w:val="en-US" w:eastAsia="zh-CN"/>
        </w:rPr>
        <w:t>2003年版第979页。</w:t>
      </w:r>
    </w:p>
  </w:footnote>
  <w:footnote w:id="10">
    <w:p>
      <w:pPr>
        <w:pStyle w:val="5"/>
        <w:snapToGrid w:val="0"/>
        <w:rPr>
          <w:rFonts w:hint="eastAsia" w:eastAsiaTheme="minorEastAsia"/>
          <w:lang w:eastAsia="zh-CN"/>
        </w:rPr>
      </w:pPr>
      <w:r>
        <w:rPr>
          <w:rStyle w:val="9"/>
        </w:rPr>
        <w:t>（10）</w:t>
      </w:r>
      <w:r>
        <w:t xml:space="preserve"> </w:t>
      </w:r>
      <w:r>
        <w:rPr>
          <w:rFonts w:hint="eastAsia"/>
          <w:lang w:eastAsia="zh-CN"/>
        </w:rPr>
        <w:t>参见葛相领在“冲突与平衡：民事、行政交叉案件审理模式探析”中提出的“分别用精通行政、民事审判的优秀人员组成综合合议庭审理案件”，《全国法院第</w:t>
      </w:r>
      <w:r>
        <w:rPr>
          <w:rFonts w:hint="eastAsia"/>
          <w:lang w:val="en-US" w:eastAsia="zh-CN"/>
        </w:rPr>
        <w:t>22届学术讨论会论文集</w:t>
      </w:r>
      <w:r>
        <w:rPr>
          <w:rFonts w:hint="eastAsia"/>
          <w:lang w:eastAsia="zh-CN"/>
        </w:rPr>
        <w:t>》，人民法院出版社</w:t>
      </w:r>
      <w:r>
        <w:rPr>
          <w:rFonts w:hint="eastAsia"/>
          <w:lang w:val="en-US" w:eastAsia="zh-CN"/>
        </w:rPr>
        <w:t>2003年版第1009页。</w:t>
      </w:r>
    </w:p>
    <w:p>
      <w:pPr>
        <w:pStyle w:val="5"/>
        <w:snapToGrid w:val="0"/>
      </w:pPr>
    </w:p>
  </w:footnote>
  <w:footnote w:id="11">
    <w:p>
      <w:pPr>
        <w:pStyle w:val="5"/>
        <w:snapToGrid w:val="0"/>
        <w:rPr>
          <w:rFonts w:hint="default"/>
          <w:lang w:val="en-US"/>
        </w:rPr>
      </w:pPr>
      <w:r>
        <w:rPr>
          <w:rStyle w:val="9"/>
        </w:rPr>
        <w:t>（11）</w:t>
      </w:r>
      <w:r>
        <w:t xml:space="preserve"> </w:t>
      </w:r>
      <w:r>
        <w:rPr>
          <w:rFonts w:hint="eastAsia"/>
          <w:lang w:val="en-US" w:eastAsia="zh-CN"/>
        </w:rPr>
        <w:t>章剑生：“行政诉讼中民事诉讼规范之适用——基于&lt;行政诉讼法&gt;第101条展开的分析</w:t>
      </w:r>
      <w:bookmarkStart w:id="0" w:name="_GoBack"/>
      <w:bookmarkEnd w:id="0"/>
      <w:r>
        <w:rPr>
          <w:rFonts w:hint="eastAsia"/>
          <w:lang w:val="en-US" w:eastAsia="zh-CN"/>
        </w:rPr>
        <w:t>”，《行政法研究》2021年第1期。</w:t>
      </w:r>
    </w:p>
    <w:p>
      <w:pPr>
        <w:pStyle w:val="5"/>
        <w:snapToGrid w:val="0"/>
      </w:pPr>
    </w:p>
  </w:footnote>
  <w:footnote w:id="12">
    <w:p>
      <w:pPr>
        <w:pStyle w:val="5"/>
        <w:snapToGrid w:val="0"/>
      </w:pPr>
      <w:r>
        <w:rPr>
          <w:rStyle w:val="9"/>
        </w:rPr>
        <w:t>（12）</w:t>
      </w:r>
      <w:r>
        <w:t xml:space="preserve"> </w:t>
      </w:r>
      <w:r>
        <w:rPr>
          <w:rFonts w:hint="eastAsia"/>
          <w:lang w:eastAsia="zh-CN"/>
        </w:rPr>
        <w:t>张卫平著：《民事诉讼法》，法律出版社</w:t>
      </w:r>
      <w:r>
        <w:rPr>
          <w:rFonts w:hint="eastAsia"/>
          <w:lang w:val="en-US" w:eastAsia="zh-CN"/>
        </w:rPr>
        <w:t>2004年11月第1版第148页。</w:t>
      </w:r>
    </w:p>
  </w:footnote>
  <w:footnote w:id="13">
    <w:p>
      <w:pPr>
        <w:pStyle w:val="5"/>
        <w:snapToGrid w:val="0"/>
      </w:pPr>
      <w:r>
        <w:rPr>
          <w:rStyle w:val="9"/>
        </w:rPr>
        <w:t>（13）</w:t>
      </w:r>
      <w:r>
        <w:t xml:space="preserve"> </w:t>
      </w:r>
      <w:r>
        <w:rPr>
          <w:rFonts w:hint="eastAsia" w:ascii="黑体" w:hAnsi="黑体" w:eastAsia="黑体" w:cs="黑体"/>
        </w:rPr>
        <w:t>[</w:t>
      </w:r>
      <w:r>
        <w:rPr>
          <w:rFonts w:hint="eastAsia" w:ascii="黑体" w:hAnsi="黑体" w:eastAsia="黑体" w:cs="黑体"/>
          <w:lang w:eastAsia="zh-CN"/>
        </w:rPr>
        <w:t>德</w:t>
      </w:r>
      <w:r>
        <w:rPr>
          <w:rFonts w:hint="eastAsia" w:ascii="黑体" w:hAnsi="黑体" w:eastAsia="黑体" w:cs="黑体"/>
        </w:rPr>
        <w:t>]</w:t>
      </w:r>
      <w:r>
        <w:rPr>
          <w:rFonts w:hint="eastAsia" w:ascii="黑体" w:hAnsi="黑体" w:eastAsia="黑体" w:cs="黑体"/>
          <w:lang w:val="en-US" w:eastAsia="zh-CN"/>
        </w:rPr>
        <w:t>奥托.迈耶著：《德国行政法》，刘飞译，商务印书馆2002年第1版第185页。</w:t>
      </w:r>
    </w:p>
  </w:footnote>
  <w:footnote w:id="14">
    <w:p>
      <w:pPr>
        <w:pStyle w:val="5"/>
        <w:snapToGrid w:val="0"/>
        <w:rPr>
          <w:rFonts w:hint="default" w:eastAsiaTheme="minorEastAsia"/>
          <w:lang w:val="en-US" w:eastAsia="zh-CN"/>
        </w:rPr>
      </w:pPr>
      <w:r>
        <w:rPr>
          <w:rStyle w:val="9"/>
        </w:rPr>
        <w:t>（14）</w:t>
      </w:r>
      <w:r>
        <w:t xml:space="preserve"> </w:t>
      </w:r>
      <w:r>
        <w:rPr>
          <w:rFonts w:hint="eastAsia"/>
          <w:lang w:eastAsia="zh-CN"/>
        </w:rPr>
        <w:t>参见</w:t>
      </w:r>
      <w:r>
        <w:rPr>
          <w:rFonts w:hint="eastAsia" w:ascii="黑体" w:hAnsi="黑体" w:eastAsia="黑体" w:cs="黑体"/>
        </w:rPr>
        <w:t>[</w:t>
      </w:r>
      <w:r>
        <w:rPr>
          <w:rFonts w:hint="eastAsia" w:ascii="黑体" w:hAnsi="黑体" w:eastAsia="黑体" w:cs="黑体"/>
          <w:lang w:eastAsia="zh-CN"/>
        </w:rPr>
        <w:t>英</w:t>
      </w:r>
      <w:r>
        <w:rPr>
          <w:rFonts w:hint="eastAsia" w:ascii="黑体" w:hAnsi="黑体" w:eastAsia="黑体" w:cs="黑体"/>
        </w:rPr>
        <w:t>]</w:t>
      </w:r>
      <w:r>
        <w:rPr>
          <w:rFonts w:hint="eastAsia" w:ascii="黑体" w:hAnsi="黑体" w:eastAsia="黑体" w:cs="黑体"/>
          <w:lang w:val="en-US" w:eastAsia="zh-CN"/>
        </w:rPr>
        <w:t>L.</w:t>
      </w:r>
      <w:r>
        <w:rPr>
          <w:rFonts w:hint="eastAsia"/>
          <w:lang w:eastAsia="zh-CN"/>
        </w:rPr>
        <w:t>赖维乐</w:t>
      </w:r>
      <w:r>
        <w:rPr>
          <w:rFonts w:hint="eastAsia" w:ascii="宋体" w:hAnsi="宋体" w:eastAsia="宋体" w:cs="宋体"/>
          <w:lang w:eastAsia="zh-CN"/>
        </w:rPr>
        <w:t>.</w:t>
      </w:r>
      <w:r>
        <w:rPr>
          <w:rFonts w:hint="eastAsia"/>
          <w:lang w:eastAsia="zh-CN"/>
        </w:rPr>
        <w:t>布朗等著：高秦伟等译，《法国行政法》中国人民大学出版社</w:t>
      </w:r>
      <w:r>
        <w:rPr>
          <w:rFonts w:hint="eastAsia"/>
          <w:lang w:val="en-US" w:eastAsia="zh-CN"/>
        </w:rPr>
        <w:t xml:space="preserve"> 2009年版（第五版）第182页。</w:t>
      </w:r>
    </w:p>
    <w:p>
      <w:pPr>
        <w:pStyle w:val="5"/>
        <w:snapToGrid w:val="0"/>
      </w:pPr>
    </w:p>
  </w:footnote>
  <w:footnote w:id="15">
    <w:p>
      <w:pPr>
        <w:pStyle w:val="5"/>
        <w:snapToGrid w:val="0"/>
      </w:pPr>
      <w:r>
        <w:rPr>
          <w:rStyle w:val="9"/>
        </w:rPr>
        <w:t>（15）</w:t>
      </w:r>
      <w:r>
        <w:t xml:space="preserve"> </w:t>
      </w:r>
      <w:r>
        <w:rPr>
          <w:rFonts w:hint="eastAsia"/>
          <w:lang w:eastAsia="zh-CN"/>
        </w:rPr>
        <w:t>参见黄泽敏“法律漏洞填补的司法论证”，《法学研究》</w:t>
      </w:r>
      <w:r>
        <w:rPr>
          <w:rFonts w:hint="eastAsia"/>
          <w:lang w:val="en-US" w:eastAsia="zh-CN"/>
        </w:rPr>
        <w:t>2020年第6期第77-78页。</w:t>
      </w:r>
    </w:p>
  </w:footnote>
  <w:footnote w:id="16">
    <w:p>
      <w:pPr>
        <w:pStyle w:val="5"/>
        <w:snapToGrid w:val="0"/>
      </w:pPr>
      <w:r>
        <w:rPr>
          <w:rStyle w:val="9"/>
        </w:rPr>
        <w:t>（16）</w:t>
      </w:r>
      <w:r>
        <w:t xml:space="preserve"> </w:t>
      </w:r>
      <w:r>
        <w:rPr>
          <w:rFonts w:hint="eastAsia"/>
          <w:lang w:eastAsia="zh-CN"/>
        </w:rPr>
        <w:t>杨立新著：《侵权责任法》法律出版社，</w:t>
      </w:r>
      <w:r>
        <w:rPr>
          <w:rFonts w:hint="eastAsia"/>
          <w:lang w:val="en-US" w:eastAsia="zh-CN"/>
        </w:rPr>
        <w:t>2018年4月第3版第74页。</w:t>
      </w:r>
    </w:p>
  </w:footnote>
  <w:footnote w:id="17">
    <w:p>
      <w:pPr>
        <w:pStyle w:val="5"/>
        <w:snapToGrid w:val="0"/>
      </w:pPr>
      <w:r>
        <w:rPr>
          <w:rStyle w:val="9"/>
        </w:rPr>
        <w:t>（17）</w:t>
      </w:r>
      <w:r>
        <w:t xml:space="preserve"> </w:t>
      </w:r>
      <w:r>
        <w:rPr>
          <w:rFonts w:hint="eastAsia"/>
          <w:lang w:eastAsia="zh-CN"/>
        </w:rPr>
        <w:t>同上注第</w:t>
      </w:r>
      <w:r>
        <w:rPr>
          <w:rFonts w:hint="eastAsia"/>
          <w:lang w:val="en-US" w:eastAsia="zh-CN"/>
        </w:rPr>
        <w:t>86页。</w:t>
      </w:r>
    </w:p>
  </w:footnote>
  <w:footnote w:id="18">
    <w:p>
      <w:pPr>
        <w:pStyle w:val="5"/>
        <w:snapToGrid w:val="0"/>
      </w:pPr>
      <w:r>
        <w:rPr>
          <w:rStyle w:val="9"/>
        </w:rPr>
        <w:t>（18）</w:t>
      </w:r>
      <w:r>
        <w:t xml:space="preserve"> </w:t>
      </w:r>
      <w:r>
        <w:rPr>
          <w:rFonts w:hint="eastAsia"/>
          <w:lang w:eastAsia="zh-CN"/>
        </w:rPr>
        <w:t>参见王泽鉴：《侵权责任法》（第</w:t>
      </w:r>
      <w:r>
        <w:rPr>
          <w:rFonts w:hint="eastAsia"/>
          <w:lang w:val="en-US" w:eastAsia="zh-CN"/>
        </w:rPr>
        <w:t>1册</w:t>
      </w:r>
      <w:r>
        <w:rPr>
          <w:rFonts w:hint="eastAsia"/>
          <w:lang w:eastAsia="zh-CN"/>
        </w:rPr>
        <w:t>），三民书局第</w:t>
      </w:r>
      <w:r>
        <w:rPr>
          <w:rFonts w:hint="eastAsia"/>
          <w:lang w:val="en-US" w:eastAsia="zh-CN"/>
        </w:rPr>
        <w:t>297-298页。</w:t>
      </w:r>
    </w:p>
  </w:footnote>
  <w:footnote w:id="19">
    <w:p>
      <w:pPr>
        <w:pStyle w:val="5"/>
        <w:snapToGrid w:val="0"/>
        <w:rPr>
          <w:rFonts w:hint="default" w:eastAsiaTheme="minorEastAsia"/>
          <w:lang w:val="en-US" w:eastAsia="zh-CN"/>
        </w:rPr>
      </w:pPr>
      <w:r>
        <w:rPr>
          <w:rStyle w:val="9"/>
        </w:rPr>
        <w:t>（19）</w:t>
      </w:r>
      <w:r>
        <w:t xml:space="preserve"> </w:t>
      </w:r>
      <w:r>
        <w:rPr>
          <w:rFonts w:hint="eastAsia"/>
          <w:lang w:eastAsia="zh-CN"/>
        </w:rPr>
        <w:t>程啸著：《侵权责任法》法律出版社，</w:t>
      </w:r>
      <w:r>
        <w:rPr>
          <w:rFonts w:hint="eastAsia"/>
          <w:lang w:val="en-US" w:eastAsia="zh-CN"/>
        </w:rPr>
        <w:t>2015年9月第2版，第238页。</w:t>
      </w:r>
    </w:p>
    <w:p>
      <w:pPr>
        <w:pStyle w:val="5"/>
        <w:snapToGrid w:val="0"/>
      </w:pPr>
    </w:p>
  </w:footnote>
  <w:footnote w:id="20">
    <w:p>
      <w:pPr>
        <w:pStyle w:val="5"/>
        <w:snapToGrid w:val="0"/>
        <w:rPr>
          <w:rFonts w:hint="default" w:eastAsiaTheme="minorEastAsia"/>
          <w:lang w:val="en-US" w:eastAsia="zh-CN"/>
        </w:rPr>
      </w:pPr>
      <w:r>
        <w:rPr>
          <w:rStyle w:val="9"/>
        </w:rPr>
        <w:t>（20）</w:t>
      </w:r>
      <w:r>
        <w:t xml:space="preserve">  </w:t>
      </w:r>
      <w:r>
        <w:rPr>
          <w:rFonts w:hint="eastAsia"/>
          <w:lang w:val="en-US" w:eastAsia="zh-CN"/>
        </w:rPr>
        <w:t>Looschelders,Schuldrecht Allgemeiner Teil,Rn.910</w:t>
      </w:r>
    </w:p>
    <w:p>
      <w:pPr>
        <w:pStyle w:val="5"/>
        <w:snapToGrid w:val="0"/>
      </w:pPr>
    </w:p>
  </w:footnote>
  <w:footnote w:id="21">
    <w:p>
      <w:pPr>
        <w:pStyle w:val="5"/>
        <w:snapToGrid w:val="0"/>
        <w:rPr>
          <w:rFonts w:hint="default" w:eastAsiaTheme="minorEastAsia"/>
          <w:lang w:val="en-US" w:eastAsia="zh-CN"/>
        </w:rPr>
      </w:pPr>
      <w:r>
        <w:rPr>
          <w:rStyle w:val="9"/>
        </w:rPr>
        <w:t>（21）</w:t>
      </w:r>
      <w:r>
        <w:t xml:space="preserve"> </w:t>
      </w:r>
      <w:r>
        <w:rPr>
          <w:rFonts w:hint="eastAsia"/>
          <w:lang w:eastAsia="zh-CN"/>
        </w:rPr>
        <w:t>参见程啸著：《侵权责任法》法律出版社，</w:t>
      </w:r>
      <w:r>
        <w:rPr>
          <w:rFonts w:hint="eastAsia"/>
          <w:lang w:val="en-US" w:eastAsia="zh-CN"/>
        </w:rPr>
        <w:t>2015年9月第2版，第243-245页。</w:t>
      </w:r>
    </w:p>
    <w:p>
      <w:pPr>
        <w:pStyle w:val="5"/>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232F5"/>
    <w:multiLevelType w:val="singleLevel"/>
    <w:tmpl w:val="ADA232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7231"/>
    <w:rsid w:val="02E63A8E"/>
    <w:rsid w:val="03563D29"/>
    <w:rsid w:val="04AB344B"/>
    <w:rsid w:val="04C500FF"/>
    <w:rsid w:val="06E844AD"/>
    <w:rsid w:val="07E3604D"/>
    <w:rsid w:val="09041882"/>
    <w:rsid w:val="0A64453C"/>
    <w:rsid w:val="0B1624AC"/>
    <w:rsid w:val="0CA165B0"/>
    <w:rsid w:val="10485A8B"/>
    <w:rsid w:val="11C30702"/>
    <w:rsid w:val="143C1045"/>
    <w:rsid w:val="16933826"/>
    <w:rsid w:val="192D5C62"/>
    <w:rsid w:val="195F4F25"/>
    <w:rsid w:val="19801F46"/>
    <w:rsid w:val="19FE6FDA"/>
    <w:rsid w:val="1AAC1E78"/>
    <w:rsid w:val="1AF617CD"/>
    <w:rsid w:val="1B1A1015"/>
    <w:rsid w:val="1B6A23D7"/>
    <w:rsid w:val="1C08284B"/>
    <w:rsid w:val="1C2220E4"/>
    <w:rsid w:val="235E1849"/>
    <w:rsid w:val="246402AF"/>
    <w:rsid w:val="27E052A3"/>
    <w:rsid w:val="2A1E0976"/>
    <w:rsid w:val="2A38246F"/>
    <w:rsid w:val="2D955C23"/>
    <w:rsid w:val="30877C6F"/>
    <w:rsid w:val="316E37A8"/>
    <w:rsid w:val="31CE0FDD"/>
    <w:rsid w:val="354D16DF"/>
    <w:rsid w:val="36A55542"/>
    <w:rsid w:val="3A913A2E"/>
    <w:rsid w:val="3C455600"/>
    <w:rsid w:val="3E845B90"/>
    <w:rsid w:val="42EC2E54"/>
    <w:rsid w:val="43085A64"/>
    <w:rsid w:val="46EF3645"/>
    <w:rsid w:val="49A548E0"/>
    <w:rsid w:val="4A930FFA"/>
    <w:rsid w:val="4DF1661D"/>
    <w:rsid w:val="510E6097"/>
    <w:rsid w:val="51F75255"/>
    <w:rsid w:val="52CF3FC0"/>
    <w:rsid w:val="5705169B"/>
    <w:rsid w:val="58AE358B"/>
    <w:rsid w:val="6073702E"/>
    <w:rsid w:val="60D5548D"/>
    <w:rsid w:val="61005F41"/>
    <w:rsid w:val="612E1005"/>
    <w:rsid w:val="61B97A74"/>
    <w:rsid w:val="61FE3AFF"/>
    <w:rsid w:val="64CD4E6A"/>
    <w:rsid w:val="6663192B"/>
    <w:rsid w:val="6F134C8F"/>
    <w:rsid w:val="731C2E47"/>
    <w:rsid w:val="74B41948"/>
    <w:rsid w:val="77053757"/>
    <w:rsid w:val="7FA3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endnote reference"/>
    <w:basedOn w:val="7"/>
    <w:qFormat/>
    <w:uiPriority w:val="0"/>
    <w:rPr>
      <w:vertAlign w:val="superscript"/>
    </w:rPr>
  </w:style>
  <w:style w:type="character" w:styleId="9">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2021-05-22T02:00:00Z</dcterms:created>
  <dc:creator>Administrator</dc:creator>
  <cp:lastModifiedBy>Administrator</cp:lastModifiedBy>
  <dcterms:modified xsi:type="dcterms:W3CDTF">2021-07-06T15:59:08Z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